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5" w:rsidRDefault="00294BC5" w:rsidP="00F45876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bookmarkStart w:id="0" w:name="_GoBack"/>
      <w:bookmarkEnd w:id="0"/>
    </w:p>
    <w:p w:rsidR="00294BC5" w:rsidRDefault="00294BC5" w:rsidP="00294BC5">
      <w:pPr>
        <w:ind w:left="5670"/>
        <w:jc w:val="both"/>
        <w:rPr>
          <w:szCs w:val="28"/>
        </w:rPr>
      </w:pPr>
      <w:r>
        <w:rPr>
          <w:szCs w:val="28"/>
        </w:rPr>
        <w:t>ЗАТВЕРДЖЕНО</w:t>
      </w:r>
    </w:p>
    <w:p w:rsidR="00294BC5" w:rsidRDefault="00294BC5" w:rsidP="00294BC5">
      <w:pPr>
        <w:ind w:left="5670"/>
        <w:jc w:val="both"/>
        <w:rPr>
          <w:szCs w:val="28"/>
        </w:rPr>
      </w:pPr>
      <w:r>
        <w:rPr>
          <w:szCs w:val="28"/>
        </w:rPr>
        <w:t xml:space="preserve">рішенням міської ради </w:t>
      </w:r>
    </w:p>
    <w:p w:rsidR="00294BC5" w:rsidRDefault="00294BC5" w:rsidP="00294BC5">
      <w:pPr>
        <w:ind w:left="5670"/>
        <w:jc w:val="both"/>
        <w:rPr>
          <w:szCs w:val="28"/>
        </w:rPr>
      </w:pPr>
      <w:r>
        <w:rPr>
          <w:szCs w:val="28"/>
        </w:rPr>
        <w:t>від "___"_______2023 р.</w:t>
      </w:r>
    </w:p>
    <w:p w:rsidR="00294BC5" w:rsidRDefault="00294BC5" w:rsidP="00294BC5">
      <w:pPr>
        <w:ind w:left="5670"/>
        <w:jc w:val="both"/>
        <w:rPr>
          <w:szCs w:val="28"/>
        </w:rPr>
      </w:pPr>
      <w:r>
        <w:rPr>
          <w:szCs w:val="28"/>
        </w:rPr>
        <w:t>№ _____</w:t>
      </w:r>
    </w:p>
    <w:p w:rsidR="00294BC5" w:rsidRDefault="00294BC5" w:rsidP="00294BC5">
      <w:pPr>
        <w:rPr>
          <w:b/>
          <w:i/>
          <w:color w:val="000000"/>
          <w:szCs w:val="28"/>
        </w:rPr>
      </w:pPr>
    </w:p>
    <w:p w:rsidR="00294BC5" w:rsidRDefault="00294BC5" w:rsidP="00294BC5">
      <w:pPr>
        <w:rPr>
          <w:b/>
          <w:i/>
          <w:color w:val="000000"/>
          <w:szCs w:val="28"/>
        </w:rPr>
      </w:pPr>
    </w:p>
    <w:p w:rsidR="00294BC5" w:rsidRDefault="00294BC5" w:rsidP="00294BC5">
      <w:pPr>
        <w:jc w:val="center"/>
        <w:rPr>
          <w:b/>
          <w:szCs w:val="28"/>
        </w:rPr>
      </w:pPr>
      <w:r>
        <w:rPr>
          <w:b/>
          <w:szCs w:val="28"/>
        </w:rPr>
        <w:t xml:space="preserve">П О Л О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294BC5" w:rsidRDefault="00294BC5" w:rsidP="00294BC5">
      <w:pPr>
        <w:jc w:val="center"/>
        <w:rPr>
          <w:b/>
          <w:szCs w:val="28"/>
        </w:rPr>
      </w:pPr>
      <w:r>
        <w:rPr>
          <w:b/>
          <w:szCs w:val="28"/>
        </w:rPr>
        <w:t>про Фонд охорони навколишнього природного середовища</w:t>
      </w:r>
    </w:p>
    <w:p w:rsidR="00294BC5" w:rsidRDefault="00294BC5" w:rsidP="00294BC5">
      <w:pPr>
        <w:jc w:val="center"/>
        <w:rPr>
          <w:b/>
          <w:szCs w:val="28"/>
        </w:rPr>
      </w:pPr>
      <w:r>
        <w:rPr>
          <w:b/>
          <w:szCs w:val="28"/>
        </w:rPr>
        <w:t xml:space="preserve"> Івано-Франківської міської територіальної громади</w:t>
      </w:r>
    </w:p>
    <w:p w:rsidR="00294BC5" w:rsidRDefault="00294BC5" w:rsidP="00294BC5">
      <w:pPr>
        <w:jc w:val="center"/>
        <w:rPr>
          <w:b/>
          <w:i/>
          <w:szCs w:val="28"/>
        </w:rPr>
      </w:pPr>
    </w:p>
    <w:p w:rsidR="00294BC5" w:rsidRDefault="00294BC5" w:rsidP="00294BC5">
      <w:pPr>
        <w:jc w:val="center"/>
        <w:rPr>
          <w:szCs w:val="28"/>
          <w:lang w:val="ru-RU"/>
        </w:rPr>
      </w:pPr>
    </w:p>
    <w:p w:rsidR="00294BC5" w:rsidRDefault="00294BC5" w:rsidP="00294BC5">
      <w:pPr>
        <w:jc w:val="center"/>
        <w:rPr>
          <w:szCs w:val="28"/>
        </w:rPr>
      </w:pPr>
      <w:r>
        <w:rPr>
          <w:szCs w:val="28"/>
        </w:rPr>
        <w:t xml:space="preserve">1. ЗАГАЛЬНІ ПОЛОЖЕННЯ </w:t>
      </w:r>
    </w:p>
    <w:p w:rsidR="00294BC5" w:rsidRDefault="00294BC5" w:rsidP="00294BC5">
      <w:pPr>
        <w:jc w:val="center"/>
        <w:rPr>
          <w:szCs w:val="28"/>
        </w:rPr>
      </w:pPr>
    </w:p>
    <w:p w:rsidR="00294BC5" w:rsidRDefault="00294BC5" w:rsidP="00294BC5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Cs w:val="28"/>
        </w:rPr>
        <w:t>Фонд охорони навколишнього природного середовища Івано-Франківської міської територіальної громади (надалі - Фонд) створено відповідно до Закону України "Про охорону навколишнього природного середовища", Бюджетного кодексу України, Положення про Державний фонд охорони навколишнього природного середовища, затвердженого постановою</w:t>
      </w:r>
      <w:r w:rsidR="002D4209">
        <w:rPr>
          <w:szCs w:val="28"/>
        </w:rPr>
        <w:t xml:space="preserve"> Кабінету Міністрів України від </w:t>
      </w:r>
      <w:r>
        <w:rPr>
          <w:szCs w:val="28"/>
        </w:rPr>
        <w:t>07</w:t>
      </w:r>
      <w:r w:rsidR="002D4209">
        <w:rPr>
          <w:szCs w:val="28"/>
        </w:rPr>
        <w:t xml:space="preserve"> травня 1998 року № </w:t>
      </w:r>
      <w:r>
        <w:rPr>
          <w:szCs w:val="28"/>
        </w:rPr>
        <w:t>634, постанови Кабінету Міністрів Укр</w:t>
      </w:r>
      <w:r w:rsidR="002D4209">
        <w:rPr>
          <w:szCs w:val="28"/>
        </w:rPr>
        <w:t xml:space="preserve">аїни від 17 вересня 1996 року № </w:t>
      </w:r>
      <w:r>
        <w:rPr>
          <w:szCs w:val="28"/>
        </w:rPr>
        <w:t>1147 "Про затвердження переліку видів діяльності, що належать до природоохоронних заходів",</w:t>
      </w:r>
      <w:r>
        <w:t xml:space="preserve"> </w:t>
      </w:r>
      <w:r>
        <w:rPr>
          <w:szCs w:val="28"/>
        </w:rPr>
        <w:t>і є складовою частиною спеціального фонду бюджету</w:t>
      </w:r>
      <w:r w:rsidR="005D33EF">
        <w:rPr>
          <w:szCs w:val="28"/>
        </w:rPr>
        <w:t xml:space="preserve"> Івано-Франківської міської територіальної громади</w:t>
      </w:r>
      <w:r>
        <w:rPr>
          <w:szCs w:val="28"/>
        </w:rPr>
        <w:t xml:space="preserve">. </w:t>
      </w:r>
    </w:p>
    <w:p w:rsidR="00294BC5" w:rsidRDefault="00294BC5" w:rsidP="00294BC5">
      <w:pPr>
        <w:numPr>
          <w:ilvl w:val="0"/>
          <w:numId w:val="5"/>
        </w:numPr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Фонд створено з метою концентрації коштів та цільового фінансування природоохоронних та ресурсозберігаючих заходів (надалі – заходів), пов'язаних із охороною навколишнього природного середовища, що спрямовані на запобігання, зменшення та усунення забруднення навколишнього природного середовища, в тому числі фінансування наукових досліджень з цих питань. </w:t>
      </w:r>
    </w:p>
    <w:p w:rsidR="00294BC5" w:rsidRDefault="00294BC5" w:rsidP="00294BC5">
      <w:pPr>
        <w:spacing w:after="120"/>
        <w:contextualSpacing/>
        <w:jc w:val="both"/>
        <w:rPr>
          <w:szCs w:val="28"/>
        </w:rPr>
      </w:pPr>
    </w:p>
    <w:p w:rsidR="00294BC5" w:rsidRDefault="00294BC5" w:rsidP="00294BC5">
      <w:pPr>
        <w:spacing w:after="120"/>
        <w:ind w:left="851"/>
        <w:contextualSpacing/>
        <w:jc w:val="center"/>
        <w:rPr>
          <w:szCs w:val="28"/>
        </w:rPr>
      </w:pPr>
      <w:r>
        <w:rPr>
          <w:szCs w:val="28"/>
        </w:rPr>
        <w:t>2. ДЖЕРЕЛА ФОРМУВАННЯ ТА НАПРЯМКИ ВИКОРИСТАННЯ ФОНДУ</w:t>
      </w:r>
    </w:p>
    <w:p w:rsidR="00294BC5" w:rsidRDefault="00294BC5" w:rsidP="00294BC5">
      <w:pPr>
        <w:spacing w:after="120"/>
        <w:ind w:left="851"/>
        <w:contextualSpacing/>
        <w:jc w:val="center"/>
        <w:rPr>
          <w:szCs w:val="28"/>
        </w:rPr>
      </w:pPr>
    </w:p>
    <w:p w:rsidR="00294BC5" w:rsidRDefault="00294BC5" w:rsidP="00294BC5">
      <w:pPr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>Фонд формується за рахунок:</w:t>
      </w:r>
    </w:p>
    <w:p w:rsidR="00294BC5" w:rsidRDefault="00294BC5" w:rsidP="00294BC5">
      <w:pPr>
        <w:ind w:firstLine="851"/>
        <w:jc w:val="both"/>
        <w:rPr>
          <w:szCs w:val="28"/>
        </w:rPr>
      </w:pPr>
      <w:r>
        <w:rPr>
          <w:szCs w:val="28"/>
        </w:rPr>
        <w:t>- коштів екологічного податку;</w:t>
      </w:r>
    </w:p>
    <w:p w:rsidR="00294BC5" w:rsidRDefault="00294BC5" w:rsidP="00294BC5">
      <w:pPr>
        <w:ind w:firstLine="851"/>
        <w:jc w:val="both"/>
        <w:rPr>
          <w:szCs w:val="28"/>
        </w:rPr>
      </w:pPr>
      <w:r>
        <w:rPr>
          <w:szCs w:val="28"/>
        </w:rPr>
        <w:t>- 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діяльності;</w:t>
      </w:r>
    </w:p>
    <w:p w:rsidR="00294BC5" w:rsidRDefault="00294BC5" w:rsidP="00294BC5">
      <w:pPr>
        <w:ind w:firstLine="851"/>
        <w:jc w:val="both"/>
        <w:rPr>
          <w:szCs w:val="28"/>
        </w:rPr>
      </w:pPr>
      <w:r>
        <w:rPr>
          <w:szCs w:val="28"/>
        </w:rPr>
        <w:t xml:space="preserve">- цільових та інших добровільних внесків підприємств, установ, організацій та громадян. </w:t>
      </w:r>
    </w:p>
    <w:p w:rsidR="00294BC5" w:rsidRDefault="00294BC5" w:rsidP="00294BC5">
      <w:pPr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Кошти Фонду акумулюються на рахунках бюджету Івано-Франківської міської територіальної громади. </w:t>
      </w:r>
    </w:p>
    <w:p w:rsidR="00294BC5" w:rsidRDefault="00294BC5" w:rsidP="00294BC5">
      <w:pPr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Кошти Фонду можуть використовуватися тільки для фінансового забезпечення здійснення природоохоронних заходів, що відповідають </w:t>
      </w:r>
      <w:r>
        <w:rPr>
          <w:szCs w:val="28"/>
        </w:rPr>
        <w:lastRenderedPageBreak/>
        <w:t>постанові Кабінету Міністрів України від 17 вересня 1996 року № 1147 "Про затвердження переліку видів діяльності, що належать до природоохоронних заходів", включаючи захист від шкідливої дії вод сільських населених пунктів та сільськогосподарських угідь, ресурсозберігаючих заходів, у тому числі наукових досліджень з цих питань, ведення державного кадастру територій та об’єктів природно-заповідного фонду, а також заходів для зниження забруднення навколишнього природного середовища та дотримання екологічних нормативів і нормативів екологічної безпеки, для зниження впливу забруднення навколишнього природного середовища на здоров’я населення.</w:t>
      </w:r>
    </w:p>
    <w:p w:rsidR="00294BC5" w:rsidRDefault="00294BC5" w:rsidP="00294BC5">
      <w:pPr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>Природоохоронні заходи, які будуть реалізовані за рахунок коштів Фонду у відповідному фінансовому році, обсяги фінансування і головні розпорядники коштів Фонду визначаються протоколом засідання комісії з розподілу коштів Фонду охорони навколишнього природного середовища Івано-Франківської міської територіальної громади.</w:t>
      </w:r>
      <w:r>
        <w:rPr>
          <w:szCs w:val="28"/>
          <w:highlight w:val="yellow"/>
        </w:rPr>
        <w:t xml:space="preserve"> </w:t>
      </w:r>
    </w:p>
    <w:p w:rsidR="00294BC5" w:rsidRDefault="00294BC5" w:rsidP="00294BC5">
      <w:pPr>
        <w:spacing w:after="120"/>
        <w:ind w:left="1559"/>
        <w:contextualSpacing/>
        <w:jc w:val="both"/>
        <w:rPr>
          <w:szCs w:val="28"/>
        </w:rPr>
      </w:pPr>
    </w:p>
    <w:p w:rsidR="00294BC5" w:rsidRDefault="00294BC5" w:rsidP="00294BC5">
      <w:pPr>
        <w:spacing w:after="120"/>
        <w:contextualSpacing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3. ПОРЯДОК РОЗГЛЯДУ ЗАПИТІВ ПРО ВИДІЛЕННЯ КОШТІВ З ФОНДУ ОХОРОНИ НАВКОЛИШНЬОГО </w:t>
      </w:r>
      <w:r>
        <w:rPr>
          <w:szCs w:val="28"/>
        </w:rPr>
        <w:t>ПРИРОДНОГО</w:t>
      </w:r>
      <w:r>
        <w:rPr>
          <w:szCs w:val="28"/>
          <w:lang w:val="ru-RU"/>
        </w:rPr>
        <w:t xml:space="preserve"> СЕРЕДОВИЩА </w:t>
      </w:r>
      <w:r>
        <w:rPr>
          <w:szCs w:val="28"/>
        </w:rPr>
        <w:t>ІВАНО-ФРАНКІВСЬКОЇ МІСЬКОЇ ТЕРИТОРІАЛЬНОЇ ГРОМАДИ ТА ПЛАНУВАННЯ ПРИРОДООХОРОННИХ ЗАХОДІВ</w:t>
      </w:r>
    </w:p>
    <w:p w:rsidR="00294BC5" w:rsidRDefault="00294BC5" w:rsidP="00294BC5">
      <w:pPr>
        <w:spacing w:after="120"/>
        <w:contextualSpacing/>
        <w:jc w:val="center"/>
        <w:rPr>
          <w:szCs w:val="28"/>
          <w:lang w:val="ru-RU"/>
        </w:rPr>
      </w:pP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Планування природоохоронних заходів здійснюється комісією з розподілу коштів Фонду охорони навколишнього природного середовища Івано-Франківської міської територіальної громади (надалі – Комісія), склад якої затверджується розпорядженням голови міської ради.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Планування природоохоронних заходів здійснюється на поточний бюджетний рік.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bCs/>
          <w:szCs w:val="28"/>
        </w:rPr>
      </w:pPr>
      <w:r>
        <w:rPr>
          <w:szCs w:val="28"/>
        </w:rPr>
        <w:t>Підставами для розгляду Комісією питання про фінансування природоохоронних заходів є запити про виділення коштів з Фонду для здійснення природоохоронних заходів (далі – запит), що подаються на визначений фінансовий рік за встановленою формою, згідно з додатком 1 до Положення, обсяг нерозподілених коштів Фонду і пріоритетність заходів у поданих запитах.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Підприємства, установи, організації, виконавчі органи міської ради,  подають запити Департаменту економічного розвитку, екології та енергозбереження міської ради на наступний рік - у </w:t>
      </w:r>
      <w:r>
        <w:rPr>
          <w:szCs w:val="28"/>
          <w:lang w:val="en-US"/>
        </w:rPr>
        <w:t>IV</w:t>
      </w:r>
      <w:r w:rsidRPr="00294BC5">
        <w:rPr>
          <w:szCs w:val="28"/>
        </w:rPr>
        <w:t xml:space="preserve"> </w:t>
      </w:r>
      <w:r>
        <w:rPr>
          <w:szCs w:val="28"/>
        </w:rPr>
        <w:t>кварталі поточного року або в обґрунтованих випадках - при виникненні нагальної потреби.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Подавачі</w:t>
      </w:r>
      <w:proofErr w:type="spellEnd"/>
      <w:r>
        <w:rPr>
          <w:szCs w:val="28"/>
        </w:rPr>
        <w:t xml:space="preserve"> запитів в особі їх керівників несуть персональну відповідальність за достовірність і повноту інформації, яка міститься в запитах та документах, що додаються. </w:t>
      </w:r>
    </w:p>
    <w:p w:rsidR="00294BC5" w:rsidRDefault="00294BC5" w:rsidP="00294BC5">
      <w:pPr>
        <w:ind w:firstLine="851"/>
        <w:jc w:val="both"/>
        <w:rPr>
          <w:szCs w:val="28"/>
        </w:rPr>
      </w:pPr>
      <w:r>
        <w:rPr>
          <w:szCs w:val="28"/>
        </w:rPr>
        <w:t xml:space="preserve">У разі подання недостовірної інформації у запитах та документах, що до них додаються, такі запити повертаються їх </w:t>
      </w:r>
      <w:proofErr w:type="spellStart"/>
      <w:r>
        <w:rPr>
          <w:szCs w:val="28"/>
        </w:rPr>
        <w:t>подавачу</w:t>
      </w:r>
      <w:proofErr w:type="spellEnd"/>
      <w:r>
        <w:rPr>
          <w:szCs w:val="28"/>
        </w:rPr>
        <w:t xml:space="preserve"> з поясненням причин повернення.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Департамент економічного розвитку, екології та енергозбереження міської ради здійснює попередній розгляд та проводить </w:t>
      </w:r>
      <w:r>
        <w:rPr>
          <w:szCs w:val="28"/>
        </w:rPr>
        <w:lastRenderedPageBreak/>
        <w:t>аналіз отриманих запитів на їх відповідність переліку видів діяльності, що належать до природоохоронних заходів, затвердженому постановою Кабінету Міністрів Укр</w:t>
      </w:r>
      <w:r w:rsidR="002D4209">
        <w:rPr>
          <w:szCs w:val="28"/>
        </w:rPr>
        <w:t xml:space="preserve">аїни від 17 вересня 1996 року № </w:t>
      </w:r>
      <w:r>
        <w:rPr>
          <w:szCs w:val="28"/>
        </w:rPr>
        <w:t xml:space="preserve">1147. Запити, які не відповідають даному переліку або подані з порушенням цього Положення, у двотижневий термін повертаються </w:t>
      </w:r>
      <w:proofErr w:type="spellStart"/>
      <w:r>
        <w:rPr>
          <w:szCs w:val="28"/>
        </w:rPr>
        <w:t>подавачу</w:t>
      </w:r>
      <w:proofErr w:type="spellEnd"/>
      <w:r>
        <w:rPr>
          <w:szCs w:val="28"/>
        </w:rPr>
        <w:t xml:space="preserve"> запиту з поясненням причин повернення.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Департамент економічного розвитку, екології та енергозбереження міської ради подає на розгляд Комісії отримані запити, екологічні висновки на кожен запит і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протоколу засідання Комісії. Екологічні висновки повинні містити інформацію про відповідність запитів вимогам постанови Кабінету Міністрів України від 17 вересня 1996 року № 1147, їх вартість та пріоритетність.</w:t>
      </w:r>
    </w:p>
    <w:p w:rsidR="00294BC5" w:rsidRDefault="00294BC5" w:rsidP="00294BC5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Департамент економічного розвитку, екології та енергозбереження міської ради здійснює попередній розгляд запитів, організовує засідання Комісії, готує документи, згадані у п.3.7. цього положення, веде протоколи засідань Комісії, які у подальшому надсилаються фінансовому управлінню міської ради, </w:t>
      </w:r>
      <w:proofErr w:type="spellStart"/>
      <w:r>
        <w:rPr>
          <w:szCs w:val="28"/>
        </w:rPr>
        <w:t>подавачам</w:t>
      </w:r>
      <w:proofErr w:type="spellEnd"/>
      <w:r>
        <w:rPr>
          <w:szCs w:val="28"/>
        </w:rPr>
        <w:t xml:space="preserve"> запитів та, за необхідності, іншим зацікавленим виконавчим органам міської ради.</w:t>
      </w:r>
    </w:p>
    <w:p w:rsidR="00294BC5" w:rsidRDefault="00294BC5" w:rsidP="00294BC5">
      <w:pPr>
        <w:rPr>
          <w:szCs w:val="28"/>
        </w:rPr>
      </w:pPr>
    </w:p>
    <w:p w:rsidR="00294BC5" w:rsidRDefault="00294BC5" w:rsidP="00294BC5">
      <w:pPr>
        <w:jc w:val="center"/>
        <w:rPr>
          <w:szCs w:val="28"/>
        </w:rPr>
      </w:pPr>
      <w:r>
        <w:rPr>
          <w:szCs w:val="28"/>
        </w:rPr>
        <w:t>4. ПОРЯДОК ФІНАНСУВАННЯ ВИДАТКІВ З ФОНДУ ОХОРОНИ НАВКОЛИШНЬОГО ПРИРОДНОГО СЕРЕДОВИЩА ТА ЗВІТУВАННЯ ПРО ВИКОРИСТАННЯ КОШТІВ ФОНДУ</w:t>
      </w:r>
    </w:p>
    <w:p w:rsidR="00294BC5" w:rsidRDefault="00294BC5" w:rsidP="00294BC5">
      <w:pPr>
        <w:rPr>
          <w:szCs w:val="28"/>
        </w:rPr>
      </w:pPr>
    </w:p>
    <w:p w:rsidR="00294BC5" w:rsidRDefault="00294BC5" w:rsidP="00294BC5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Виконання бюджету</w:t>
      </w:r>
      <w:r w:rsidR="005D33EF">
        <w:rPr>
          <w:sz w:val="28"/>
          <w:szCs w:val="28"/>
          <w:lang w:eastAsia="ru-RU"/>
        </w:rPr>
        <w:t xml:space="preserve"> Івано-Франківської міської територіальної громади</w:t>
      </w:r>
      <w:r>
        <w:rPr>
          <w:sz w:val="28"/>
          <w:szCs w:val="28"/>
          <w:lang w:eastAsia="ru-RU"/>
        </w:rPr>
        <w:t xml:space="preserve"> за видатками Фонду здійснюється в межах надходження коштів до нього, відповідно до постанови Кабінету Міністрів України від 28 лютого 2002 р. № 228 "Про затвердження Порядку складання, розгляду, затвердження та основних вимог до виконання кошторисів бюджетних установ".</w:t>
      </w:r>
    </w:p>
    <w:p w:rsidR="00294BC5" w:rsidRDefault="00294BC5" w:rsidP="00294BC5">
      <w:pPr>
        <w:ind w:firstLine="683"/>
        <w:jc w:val="both"/>
        <w:rPr>
          <w:szCs w:val="28"/>
        </w:rPr>
      </w:pPr>
      <w:r>
        <w:rPr>
          <w:szCs w:val="28"/>
        </w:rPr>
        <w:t xml:space="preserve">4.2. Головні розпорядники коштів подають Департаменту економічного розвитку, екології та енергозбереження міської ради інформацію про стан використання коштів Фонду та звіт про виконання відповідних природоохоронних заходів за встановленою формою, згідно з додатком 2 до Положення. </w:t>
      </w:r>
    </w:p>
    <w:p w:rsidR="00294BC5" w:rsidRDefault="00294BC5" w:rsidP="00294BC5">
      <w:pPr>
        <w:spacing w:after="120"/>
        <w:ind w:firstLine="632"/>
        <w:contextualSpacing/>
        <w:jc w:val="both"/>
        <w:rPr>
          <w:szCs w:val="28"/>
        </w:rPr>
      </w:pPr>
      <w:r>
        <w:rPr>
          <w:bCs/>
          <w:szCs w:val="28"/>
        </w:rPr>
        <w:t xml:space="preserve">4.3. Департамент </w:t>
      </w:r>
      <w:r>
        <w:rPr>
          <w:szCs w:val="28"/>
        </w:rPr>
        <w:t>економічного розвитку, екології та енергозбереження міської ради</w:t>
      </w:r>
      <w:r>
        <w:rPr>
          <w:bCs/>
          <w:szCs w:val="28"/>
        </w:rPr>
        <w:t xml:space="preserve"> щороку до 20 лютого готує та надає міській раді звіт про виконання заходів Програми охорони навколишнього природного середовища Івано-Франківської міської територіальної громади за відповідний рік.</w:t>
      </w:r>
    </w:p>
    <w:p w:rsidR="00294BC5" w:rsidRDefault="00294BC5" w:rsidP="00294BC5">
      <w:pPr>
        <w:spacing w:after="120"/>
        <w:ind w:firstLine="632"/>
        <w:contextualSpacing/>
        <w:jc w:val="both"/>
        <w:rPr>
          <w:szCs w:val="28"/>
        </w:rPr>
      </w:pPr>
      <w:r>
        <w:rPr>
          <w:szCs w:val="28"/>
        </w:rPr>
        <w:t>4.4. Головні розпорядники, розпорядники та одержувачі коштів Фонду несуть відповідальність за нецільове використання коштів Фонду, згідно з чинним законодавством України.</w:t>
      </w:r>
    </w:p>
    <w:p w:rsidR="00294BC5" w:rsidRDefault="00294BC5" w:rsidP="00294BC5">
      <w:pPr>
        <w:spacing w:after="120"/>
        <w:ind w:firstLine="632"/>
        <w:contextualSpacing/>
        <w:jc w:val="both"/>
        <w:rPr>
          <w:szCs w:val="28"/>
        </w:rPr>
      </w:pPr>
      <w:r>
        <w:rPr>
          <w:szCs w:val="28"/>
        </w:rPr>
        <w:t xml:space="preserve">4.5. Контроль цільового та ефективного використанням коштів Фонду здійснюють у межах своїх повноважень органи, визначені законодавством. </w:t>
      </w:r>
    </w:p>
    <w:p w:rsidR="00294BC5" w:rsidRDefault="00294BC5" w:rsidP="00294BC5">
      <w:pPr>
        <w:jc w:val="both"/>
        <w:rPr>
          <w:szCs w:val="28"/>
        </w:rPr>
      </w:pPr>
    </w:p>
    <w:p w:rsidR="00B2110B" w:rsidRDefault="00B2110B" w:rsidP="00294BC5">
      <w:pPr>
        <w:jc w:val="both"/>
        <w:rPr>
          <w:szCs w:val="28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2110B" w:rsidRDefault="00B2110B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2110B" w:rsidRDefault="00B2110B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color w:val="000000"/>
          <w:sz w:val="24"/>
          <w:szCs w:val="24"/>
        </w:rPr>
      </w:pPr>
    </w:p>
    <w:p w:rsidR="00294BC5" w:rsidRP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color w:val="000000"/>
          <w:sz w:val="24"/>
          <w:szCs w:val="24"/>
        </w:rPr>
      </w:pPr>
      <w:r w:rsidRPr="00294BC5">
        <w:rPr>
          <w:color w:val="000000"/>
          <w:sz w:val="24"/>
          <w:szCs w:val="24"/>
        </w:rPr>
        <w:t>Додаток 1</w:t>
      </w:r>
    </w:p>
    <w:p w:rsidR="00294BC5" w:rsidRP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color w:val="000000"/>
          <w:sz w:val="24"/>
          <w:szCs w:val="24"/>
        </w:rPr>
      </w:pPr>
      <w:r w:rsidRPr="00294BC5">
        <w:rPr>
          <w:color w:val="000000"/>
          <w:sz w:val="24"/>
          <w:szCs w:val="24"/>
        </w:rPr>
        <w:t>до Положення про Фонд охорони навколишнього природного середовища Івано-Франківської міської територіальної громади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ЗАПИТ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про виділення коштів з Фонду охорони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навколишнього природного середовища Івано-Франківської міської територіальної громади для здійснення природоохоронних заходів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1. Назва заходу 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2. Відомості про </w:t>
      </w:r>
      <w:proofErr w:type="spellStart"/>
      <w:r>
        <w:rPr>
          <w:color w:val="000000"/>
        </w:rPr>
        <w:t>подавача</w:t>
      </w:r>
      <w:proofErr w:type="spellEnd"/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2.1. Повна назва 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2.2. Адреса 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2.3. Телефон, факс 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2.4. Форма власності 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3. Відомості про підприємство (установу, організацію), на об'єктах якого здійснюється природоохоронний захід (заповнюється, якщо вони не є </w:t>
      </w:r>
      <w:proofErr w:type="spellStart"/>
      <w:r>
        <w:rPr>
          <w:color w:val="000000"/>
        </w:rPr>
        <w:t>подавачами</w:t>
      </w:r>
      <w:proofErr w:type="spellEnd"/>
      <w:r>
        <w:rPr>
          <w:color w:val="000000"/>
        </w:rPr>
        <w:t xml:space="preserve"> запиту)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3.1. Повна назва 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3.2. Адреса 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3.3. Телефон, факс 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3.4. Форма власності 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4. Місце (адреса) реалізації заходу 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5. Характеристика заходу: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5.1. Ступінь масштабності екологічного впливу (у межах кількох областей - загальнодержавний; кількох районів чи всієї області - регіональний; одного чи кількох населених пунктів району - місцевий)____________________________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5.2. Підстава для виконання (указати нормативно-правові акти, програми, якими передбачене фінансування заходу з фонду ОНПС</w:t>
      </w:r>
      <w:r w:rsidR="005D33EF">
        <w:rPr>
          <w:color w:val="000000"/>
        </w:rPr>
        <w:t xml:space="preserve"> Івано-Франківської міської територіальної громади</w:t>
      </w:r>
      <w:r>
        <w:rPr>
          <w:color w:val="000000"/>
        </w:rPr>
        <w:t>, або інші підстави, пункт постанови КМУ від 17.09.1996 № 1147 "Про затвердження переліку видів діяльності, що належать до природоохоронних заходів")</w:t>
      </w:r>
      <w:r>
        <w:t>______________________________________</w:t>
      </w:r>
      <w:r w:rsidR="005D33EF">
        <w:t>_</w:t>
      </w:r>
    </w:p>
    <w:p w:rsidR="005D33EF" w:rsidRDefault="005D33EF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5.3. Мета та головні завдання (перелік екологічних проблем, що будуть вирішені, та короткий зміст заходу) 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5.4. Природоохоронний ефект (указати всі види природоохоронного ефекту та навести якісні та (або) кількісні характеристики)_________________________ 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5.5. Комплексність вирішення екологічних проблем (указати якісні та (або) кількісні характеристики щодо </w:t>
      </w:r>
      <w:proofErr w:type="spellStart"/>
      <w:r>
        <w:rPr>
          <w:color w:val="000000"/>
        </w:rPr>
        <w:t>енерго</w:t>
      </w:r>
      <w:proofErr w:type="spellEnd"/>
      <w:r>
        <w:rPr>
          <w:color w:val="000000"/>
        </w:rPr>
        <w:t>- та ресурсозбереження)______________ 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5.6. Очікувані результативні показники (витрат, продукту, ефективності, якості)______________________________________________________________________________________________________________________________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Про</w:t>
      </w:r>
      <w:r w:rsidR="001C06E4">
        <w:rPr>
          <w:color w:val="000000"/>
        </w:rPr>
        <w:t>є</w:t>
      </w:r>
      <w:r>
        <w:rPr>
          <w:color w:val="000000"/>
        </w:rPr>
        <w:t>ктна</w:t>
      </w:r>
      <w:proofErr w:type="spellEnd"/>
      <w:r>
        <w:rPr>
          <w:color w:val="000000"/>
        </w:rPr>
        <w:t xml:space="preserve"> документація (указати розробника, ким і коли затверджена, наявність висновку з оцінки впливу на довкілля (ОВД) та експертного звіту щодо розгляду </w:t>
      </w:r>
      <w:proofErr w:type="spellStart"/>
      <w:r>
        <w:rPr>
          <w:color w:val="000000"/>
        </w:rPr>
        <w:t>про</w:t>
      </w:r>
      <w:r w:rsidR="001C06E4">
        <w:rPr>
          <w:color w:val="000000"/>
        </w:rPr>
        <w:t>є</w:t>
      </w:r>
      <w:r>
        <w:rPr>
          <w:color w:val="000000"/>
        </w:rPr>
        <w:t>ктної</w:t>
      </w:r>
      <w:proofErr w:type="spellEnd"/>
      <w:r>
        <w:rPr>
          <w:color w:val="000000"/>
        </w:rPr>
        <w:t xml:space="preserve"> документації на будівництво________________</w:t>
      </w:r>
      <w:r w:rsidR="00E15AF2">
        <w:rPr>
          <w:color w:val="000000"/>
        </w:rPr>
        <w:t>__</w:t>
      </w:r>
      <w:r>
        <w:rPr>
          <w:color w:val="000000"/>
        </w:rPr>
        <w:t>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7. Упроваджені технології (указати: вітчизняна чи зарубіжна технологія; перебуває на стадії розробки, пілотного </w:t>
      </w:r>
      <w:proofErr w:type="spellStart"/>
      <w:r>
        <w:rPr>
          <w:color w:val="000000"/>
        </w:rPr>
        <w:t>про</w:t>
      </w:r>
      <w:r w:rsidR="001C06E4">
        <w:rPr>
          <w:color w:val="000000"/>
        </w:rP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чи апробована)___________ 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8. Фінансування заходу (у цінах на момент подання запиту)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8.1. Загальна вартість (тис. грн) 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8.2. Готовність заходу на момент подання запиту (у % від загальної вартості)___________________________________________________________ 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8.3. Видатки з  фонду</w:t>
      </w:r>
      <w:r w:rsidR="005D33EF">
        <w:rPr>
          <w:color w:val="000000"/>
        </w:rPr>
        <w:t xml:space="preserve"> Івано-Франківської міської територіальної громади</w:t>
      </w:r>
      <w:r>
        <w:rPr>
          <w:color w:val="000000"/>
        </w:rPr>
        <w:t xml:space="preserve"> (за кодами економічної класифікації видатків бюджету (КЕКВ), тис. грн) 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усього _______________________</w:t>
      </w:r>
      <w:r w:rsidR="005D33EF">
        <w:rPr>
          <w:color w:val="000000"/>
        </w:rPr>
        <w:t>__________</w:t>
      </w:r>
      <w:r>
        <w:rPr>
          <w:color w:val="000000"/>
        </w:rPr>
        <w:t>_____, у тому числі в ________ році (рік, на який подається запит) ___</w:t>
      </w:r>
      <w:r w:rsidR="00E15AF2">
        <w:rPr>
          <w:color w:val="000000"/>
        </w:rPr>
        <w:t>_______</w:t>
      </w:r>
      <w:r>
        <w:rPr>
          <w:color w:val="000000"/>
        </w:rPr>
        <w:t>____ за КЕКВ _______</w:t>
      </w:r>
      <w:r w:rsidR="00E15AF2">
        <w:rPr>
          <w:color w:val="000000"/>
        </w:rPr>
        <w:t xml:space="preserve">_______ </w:t>
      </w:r>
      <w:r>
        <w:rPr>
          <w:color w:val="000000"/>
        </w:rPr>
        <w:t xml:space="preserve">фактичні видатки за </w:t>
      </w:r>
      <w:r w:rsidR="00E15AF2">
        <w:rPr>
          <w:color w:val="000000"/>
        </w:rPr>
        <w:t>попередній період _________</w:t>
      </w:r>
      <w:r>
        <w:rPr>
          <w:color w:val="000000"/>
        </w:rPr>
        <w:t>____ за КЕКВ 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8.4. Фінансування за рахунок власних коштів (тис. грн)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усього ____________________________________________________________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в ____________ році (рік, на який подається з</w:t>
      </w:r>
      <w:r w:rsidR="00E15AF2">
        <w:rPr>
          <w:color w:val="000000"/>
        </w:rPr>
        <w:t>апит) _____________</w:t>
      </w:r>
      <w:r>
        <w:rPr>
          <w:color w:val="000000"/>
        </w:rPr>
        <w:t>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8.5. Інші джерела фінансування (тис. грн) ______________ усього: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джерело _______________________ обсяг фінансування 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в __________ році (рік, на який подається запит):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джерело ___________________ обсяг фінансування 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9. Термін реалізації заходу (указати дати його початку, закінчення та тривалість згідно з </w:t>
      </w:r>
      <w:proofErr w:type="spellStart"/>
      <w:r>
        <w:rPr>
          <w:color w:val="000000"/>
        </w:rPr>
        <w:t>про</w:t>
      </w:r>
      <w:r w:rsidR="001C06E4">
        <w:rPr>
          <w:color w:val="000000"/>
        </w:rPr>
        <w:t>є</w:t>
      </w:r>
      <w:r>
        <w:rPr>
          <w:color w:val="000000"/>
        </w:rPr>
        <w:t>ктом</w:t>
      </w:r>
      <w:proofErr w:type="spellEnd"/>
      <w:r>
        <w:rPr>
          <w:color w:val="000000"/>
        </w:rPr>
        <w:t>) _________________________________________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10. Термін окупності заходу ___________________________________</w:t>
      </w:r>
      <w:r w:rsidR="00E15AF2">
        <w:rPr>
          <w:color w:val="000000"/>
        </w:rPr>
        <w:t>_</w:t>
      </w:r>
      <w:r>
        <w:rPr>
          <w:color w:val="000000"/>
        </w:rPr>
        <w:t>______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Керівник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Головний бухгалтер</w:t>
      </w:r>
    </w:p>
    <w:p w:rsidR="00294BC5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94BC5" w:rsidRPr="00E15AF2" w:rsidRDefault="00294BC5" w:rsidP="0029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4"/>
          <w:szCs w:val="24"/>
        </w:rPr>
      </w:pPr>
      <w:r w:rsidRPr="00E15AF2">
        <w:rPr>
          <w:i/>
          <w:color w:val="000000"/>
          <w:sz w:val="24"/>
          <w:szCs w:val="24"/>
        </w:rPr>
        <w:t xml:space="preserve">Якщо в запиті передбачаються капітальні видатки, то разом із запитом подаються: </w:t>
      </w:r>
    </w:p>
    <w:p w:rsidR="00294BC5" w:rsidRDefault="00294BC5" w:rsidP="00E1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15AF2">
        <w:rPr>
          <w:i/>
          <w:color w:val="000000"/>
          <w:sz w:val="24"/>
          <w:szCs w:val="24"/>
        </w:rPr>
        <w:t>кошторис витрат, які будуть здійснюватися за рахунок коштів фонду</w:t>
      </w:r>
      <w:r w:rsidR="005D33EF">
        <w:rPr>
          <w:i/>
          <w:color w:val="000000"/>
          <w:sz w:val="24"/>
          <w:szCs w:val="24"/>
        </w:rPr>
        <w:t xml:space="preserve"> Івано-Франківської міської територіальної громади</w:t>
      </w:r>
      <w:r w:rsidRPr="00E15AF2">
        <w:rPr>
          <w:i/>
          <w:color w:val="000000"/>
          <w:sz w:val="24"/>
          <w:szCs w:val="24"/>
        </w:rPr>
        <w:t xml:space="preserve"> охорони навколишнього природного середовища в ______ році; графік реалізації заходу в ________ році.</w:t>
      </w:r>
    </w:p>
    <w:tbl>
      <w:tblPr>
        <w:tblW w:w="9424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077"/>
        <w:gridCol w:w="1182"/>
        <w:gridCol w:w="993"/>
        <w:gridCol w:w="1197"/>
        <w:gridCol w:w="340"/>
        <w:gridCol w:w="601"/>
        <w:gridCol w:w="903"/>
        <w:gridCol w:w="11"/>
        <w:gridCol w:w="779"/>
        <w:gridCol w:w="372"/>
        <w:gridCol w:w="134"/>
        <w:gridCol w:w="1142"/>
        <w:gridCol w:w="34"/>
      </w:tblGrid>
      <w:tr w:rsidR="00294BC5" w:rsidTr="00E15AF2">
        <w:trPr>
          <w:gridAfter w:val="1"/>
          <w:wAfter w:w="34" w:type="dxa"/>
          <w:trHeight w:val="540"/>
        </w:trPr>
        <w:tc>
          <w:tcPr>
            <w:tcW w:w="9390" w:type="dxa"/>
            <w:gridSpan w:val="13"/>
            <w:vAlign w:val="center"/>
          </w:tcPr>
          <w:p w:rsidR="00294BC5" w:rsidRPr="00E15AF2" w:rsidRDefault="0029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04"/>
              <w:rPr>
                <w:color w:val="000000"/>
                <w:sz w:val="24"/>
                <w:szCs w:val="24"/>
              </w:rPr>
            </w:pPr>
            <w:bookmarkStart w:id="1" w:name="RANGE!C1:M18"/>
            <w:bookmarkEnd w:id="1"/>
            <w:r w:rsidRPr="00E15AF2">
              <w:rPr>
                <w:color w:val="000000"/>
                <w:sz w:val="24"/>
                <w:szCs w:val="24"/>
              </w:rPr>
              <w:lastRenderedPageBreak/>
              <w:t>Додаток 2</w:t>
            </w:r>
          </w:p>
          <w:p w:rsidR="00294BC5" w:rsidRPr="00E15AF2" w:rsidRDefault="0029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04"/>
              <w:rPr>
                <w:color w:val="000000"/>
                <w:sz w:val="24"/>
                <w:szCs w:val="24"/>
              </w:rPr>
            </w:pPr>
            <w:r w:rsidRPr="00E15AF2">
              <w:rPr>
                <w:color w:val="000000"/>
                <w:sz w:val="24"/>
                <w:szCs w:val="24"/>
              </w:rPr>
              <w:t>до Положення про Фонд охорони навколишнього природного середовища Івано-Франківської міської територіальної громади</w:t>
            </w:r>
          </w:p>
          <w:p w:rsidR="00294BC5" w:rsidRDefault="00294BC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15AF2" w:rsidRDefault="00294BC5">
            <w:pPr>
              <w:jc w:val="center"/>
              <w:rPr>
                <w:b/>
                <w:bCs/>
                <w:szCs w:val="28"/>
              </w:rPr>
            </w:pPr>
            <w:r w:rsidRPr="00E15AF2">
              <w:rPr>
                <w:b/>
                <w:bCs/>
                <w:szCs w:val="28"/>
              </w:rPr>
              <w:t xml:space="preserve">Звіт </w:t>
            </w:r>
          </w:p>
          <w:p w:rsidR="00294BC5" w:rsidRPr="00E15AF2" w:rsidRDefault="00294BC5">
            <w:pPr>
              <w:jc w:val="center"/>
              <w:rPr>
                <w:rFonts w:eastAsia="Calibri"/>
                <w:b/>
                <w:szCs w:val="28"/>
              </w:rPr>
            </w:pPr>
            <w:r w:rsidRPr="00E15AF2">
              <w:rPr>
                <w:b/>
                <w:bCs/>
                <w:szCs w:val="28"/>
              </w:rPr>
              <w:t xml:space="preserve">про стан виконання заходів Програми охорони навколишнього природного середовища Івано-Франківської міської територіальної громади </w:t>
            </w:r>
            <w:r w:rsidRPr="00E15AF2">
              <w:rPr>
                <w:rFonts w:eastAsia="Calibri"/>
                <w:b/>
                <w:szCs w:val="28"/>
              </w:rPr>
              <w:t>на 2021 – 2025 роки</w:t>
            </w:r>
          </w:p>
          <w:p w:rsidR="00294BC5" w:rsidRPr="00E15AF2" w:rsidRDefault="00294BC5">
            <w:pPr>
              <w:jc w:val="center"/>
              <w:rPr>
                <w:b/>
                <w:bCs/>
                <w:szCs w:val="28"/>
              </w:rPr>
            </w:pPr>
            <w:r w:rsidRPr="00E15AF2">
              <w:rPr>
                <w:b/>
                <w:bCs/>
                <w:szCs w:val="28"/>
              </w:rPr>
              <w:t xml:space="preserve">у _______ році </w:t>
            </w:r>
          </w:p>
          <w:p w:rsidR="00294BC5" w:rsidRDefault="00294B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4BC5" w:rsidRPr="00294BC5" w:rsidTr="00E15AF2">
        <w:trPr>
          <w:gridAfter w:val="1"/>
          <w:wAfter w:w="34" w:type="dxa"/>
          <w:trHeight w:val="480"/>
        </w:trPr>
        <w:tc>
          <w:tcPr>
            <w:tcW w:w="9390" w:type="dxa"/>
            <w:gridSpan w:val="13"/>
            <w:vAlign w:val="center"/>
            <w:hideMark/>
          </w:tcPr>
          <w:p w:rsidR="00294BC5" w:rsidRPr="00294BC5" w:rsidRDefault="00294BC5" w:rsidP="00294BC5">
            <w:pPr>
              <w:jc w:val="center"/>
              <w:rPr>
                <w:bCs/>
                <w:sz w:val="32"/>
                <w:szCs w:val="32"/>
              </w:rPr>
            </w:pPr>
            <w:r w:rsidRPr="00294BC5">
              <w:rPr>
                <w:bCs/>
                <w:sz w:val="32"/>
                <w:szCs w:val="32"/>
              </w:rPr>
              <w:t>_________________________________________________________</w:t>
            </w:r>
          </w:p>
          <w:p w:rsidR="00294BC5" w:rsidRPr="00294BC5" w:rsidRDefault="00294BC5" w:rsidP="00294BC5">
            <w:pPr>
              <w:jc w:val="center"/>
              <w:rPr>
                <w:bCs/>
                <w:sz w:val="24"/>
                <w:szCs w:val="24"/>
              </w:rPr>
            </w:pPr>
            <w:r w:rsidRPr="00294BC5">
              <w:rPr>
                <w:bCs/>
                <w:sz w:val="24"/>
                <w:szCs w:val="24"/>
              </w:rPr>
              <w:t>(розпорядник коштів)</w:t>
            </w:r>
          </w:p>
        </w:tc>
      </w:tr>
      <w:tr w:rsidR="00294BC5" w:rsidTr="00E15AF2">
        <w:trPr>
          <w:trHeight w:val="450"/>
        </w:trPr>
        <w:tc>
          <w:tcPr>
            <w:tcW w:w="659" w:type="dxa"/>
            <w:vAlign w:val="bottom"/>
            <w:hideMark/>
          </w:tcPr>
          <w:p w:rsidR="00294BC5" w:rsidRDefault="00294BC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1182" w:type="dxa"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993" w:type="dxa"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1515" w:type="dxa"/>
            <w:gridSpan w:val="3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134" w:type="dxa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294BC5" w:rsidRDefault="00294BC5">
            <w:pPr>
              <w:rPr>
                <w:sz w:val="20"/>
                <w:lang w:eastAsia="uk-UA"/>
              </w:rPr>
            </w:pPr>
          </w:p>
        </w:tc>
      </w:tr>
      <w:tr w:rsidR="00294BC5" w:rsidRPr="00E15AF2" w:rsidTr="00E15AF2">
        <w:trPr>
          <w:gridAfter w:val="1"/>
          <w:wAfter w:w="34" w:type="dxa"/>
          <w:trHeight w:val="39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1C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з</w:t>
            </w:r>
            <w:r w:rsidR="00294BC5" w:rsidRPr="00E15AF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E15AF2">
              <w:rPr>
                <w:bCs/>
                <w:spacing w:val="-10"/>
                <w:sz w:val="24"/>
                <w:szCs w:val="24"/>
              </w:rPr>
              <w:t>Напрямки вико-</w:t>
            </w:r>
            <w:proofErr w:type="spellStart"/>
            <w:r w:rsidRPr="00E15AF2">
              <w:rPr>
                <w:bCs/>
                <w:spacing w:val="-10"/>
                <w:sz w:val="24"/>
                <w:szCs w:val="24"/>
              </w:rPr>
              <w:t>ристання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1C06E4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Загальна кошторис-на вартість об`єкту (заходу), тис. грн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4BC5" w:rsidRPr="00E15AF2" w:rsidRDefault="00294BC5" w:rsidP="005D33EF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Фінансування з фонду ОНПС</w:t>
            </w:r>
            <w:r w:rsidR="005D33EF">
              <w:rPr>
                <w:bCs/>
                <w:sz w:val="24"/>
                <w:szCs w:val="24"/>
              </w:rPr>
              <w:t xml:space="preserve"> Івано-Франківської територіальної громади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94BC5" w:rsidRPr="00E15AF2" w:rsidRDefault="00294BC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5AF2">
              <w:rPr>
                <w:bCs/>
                <w:sz w:val="24"/>
                <w:szCs w:val="24"/>
              </w:rPr>
              <w:t>Співфінансу-вання</w:t>
            </w:r>
            <w:proofErr w:type="spellEnd"/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294BC5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Виконавець робіт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Стан виконання, якісні та кількісні показники ефективності</w:t>
            </w:r>
          </w:p>
        </w:tc>
      </w:tr>
      <w:tr w:rsidR="00294BC5" w:rsidRPr="00E15AF2" w:rsidTr="00E15AF2">
        <w:trPr>
          <w:gridAfter w:val="1"/>
          <w:wAfter w:w="34" w:type="dxa"/>
          <w:trHeight w:val="1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1C06E4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Виді-</w:t>
            </w:r>
            <w:proofErr w:type="spellStart"/>
            <w:r w:rsidRPr="00E15AF2">
              <w:rPr>
                <w:bCs/>
                <w:sz w:val="24"/>
                <w:szCs w:val="24"/>
              </w:rPr>
              <w:t>лено</w:t>
            </w:r>
            <w:proofErr w:type="spellEnd"/>
            <w:r w:rsidRPr="00E15AF2">
              <w:rPr>
                <w:bCs/>
                <w:sz w:val="24"/>
                <w:szCs w:val="24"/>
              </w:rPr>
              <w:t xml:space="preserve">,                    тис. грн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1C06E4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Профінансовано, тис. грн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1C06E4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 xml:space="preserve">Виділе-но,       тис. грн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 w:rsidP="001C06E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5AF2">
              <w:rPr>
                <w:bCs/>
                <w:sz w:val="24"/>
                <w:szCs w:val="24"/>
              </w:rPr>
              <w:t>Профінансо-вано</w:t>
            </w:r>
            <w:proofErr w:type="spellEnd"/>
            <w:r w:rsidRPr="00E15AF2">
              <w:rPr>
                <w:bCs/>
                <w:sz w:val="24"/>
                <w:szCs w:val="24"/>
              </w:rPr>
              <w:t>, тис. грн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bCs/>
                <w:sz w:val="24"/>
                <w:szCs w:val="24"/>
              </w:rPr>
            </w:pPr>
          </w:p>
        </w:tc>
      </w:tr>
      <w:tr w:rsidR="00294BC5" w:rsidRPr="00E15AF2" w:rsidTr="00E15AF2">
        <w:trPr>
          <w:gridAfter w:val="1"/>
          <w:wAfter w:w="34" w:type="dxa"/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</w:tr>
      <w:tr w:rsidR="00294BC5" w:rsidRPr="00E15AF2" w:rsidTr="00E15AF2">
        <w:trPr>
          <w:gridAfter w:val="1"/>
          <w:wAfter w:w="34" w:type="dxa"/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</w:tr>
      <w:tr w:rsidR="00294BC5" w:rsidRPr="00E15AF2" w:rsidTr="00E15AF2">
        <w:trPr>
          <w:gridAfter w:val="1"/>
          <w:wAfter w:w="34" w:type="dxa"/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bCs/>
                <w:sz w:val="24"/>
                <w:szCs w:val="24"/>
              </w:rPr>
            </w:pPr>
            <w:r w:rsidRPr="00E15AF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jc w:val="center"/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C5" w:rsidRPr="00E15AF2" w:rsidRDefault="00294BC5">
            <w:pPr>
              <w:rPr>
                <w:sz w:val="24"/>
                <w:szCs w:val="24"/>
              </w:rPr>
            </w:pPr>
            <w:r w:rsidRPr="00E15AF2">
              <w:rPr>
                <w:sz w:val="24"/>
                <w:szCs w:val="24"/>
              </w:rPr>
              <w:t> </w:t>
            </w:r>
          </w:p>
        </w:tc>
      </w:tr>
    </w:tbl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Посада, </w:t>
      </w:r>
      <w:r w:rsidR="001C06E4">
        <w:rPr>
          <w:sz w:val="28"/>
          <w:szCs w:val="28"/>
          <w:lang w:val="uk-UA"/>
        </w:rPr>
        <w:t>власне ім’я та прізвище</w:t>
      </w:r>
      <w:r>
        <w:rPr>
          <w:sz w:val="28"/>
          <w:szCs w:val="28"/>
          <w:lang w:val="uk-UA"/>
        </w:rPr>
        <w:t>, підпис керівника розпорядника коштів</w:t>
      </w: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Default="00294BC5" w:rsidP="00294BC5">
      <w:pPr>
        <w:pStyle w:val="a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94BC5" w:rsidRPr="0066186C" w:rsidRDefault="00294BC5" w:rsidP="00F45876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sectPr w:rsidR="00294BC5" w:rsidRPr="0066186C" w:rsidSect="00CA6777">
      <w:pgSz w:w="11906" w:h="16838" w:code="9"/>
      <w:pgMar w:top="1021" w:right="567" w:bottom="102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1D5D"/>
    <w:multiLevelType w:val="multilevel"/>
    <w:tmpl w:val="09EF5FDF"/>
    <w:lvl w:ilvl="0">
      <w:numFmt w:val="bullet"/>
      <w:lvlText w:val="-"/>
      <w:lvlJc w:val="left"/>
      <w:pPr>
        <w:tabs>
          <w:tab w:val="num" w:pos="165"/>
        </w:tabs>
        <w:ind w:left="210" w:hanging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33E3B96"/>
    <w:multiLevelType w:val="hybridMultilevel"/>
    <w:tmpl w:val="22FA4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234D"/>
    <w:multiLevelType w:val="hybridMultilevel"/>
    <w:tmpl w:val="ACD01A9C"/>
    <w:lvl w:ilvl="0" w:tplc="23A85518">
      <w:start w:val="1"/>
      <w:numFmt w:val="decimal"/>
      <w:lvlText w:val="2.%1."/>
      <w:lvlJc w:val="left"/>
      <w:pPr>
        <w:ind w:left="1495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6E11B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15C"/>
    <w:multiLevelType w:val="hybridMultilevel"/>
    <w:tmpl w:val="A87AC53C"/>
    <w:lvl w:ilvl="0" w:tplc="A9B61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3DF3"/>
    <w:multiLevelType w:val="hybridMultilevel"/>
    <w:tmpl w:val="D50A70B4"/>
    <w:lvl w:ilvl="0" w:tplc="4592471E">
      <w:start w:val="1"/>
      <w:numFmt w:val="decimal"/>
      <w:lvlText w:val="1.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6E11B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7A20"/>
    <w:multiLevelType w:val="hybridMultilevel"/>
    <w:tmpl w:val="D6949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3E75"/>
    <w:multiLevelType w:val="hybridMultilevel"/>
    <w:tmpl w:val="E47893B4"/>
    <w:lvl w:ilvl="0" w:tplc="E014F23C">
      <w:start w:val="1"/>
      <w:numFmt w:val="decimal"/>
      <w:lvlText w:val="3.%1."/>
      <w:lvlJc w:val="left"/>
      <w:pPr>
        <w:ind w:left="1778" w:hanging="360"/>
      </w:pPr>
      <w:rPr>
        <w:color w:val="auto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C"/>
    <w:rsid w:val="00003A49"/>
    <w:rsid w:val="00004BE9"/>
    <w:rsid w:val="00044A19"/>
    <w:rsid w:val="00073B39"/>
    <w:rsid w:val="000D2617"/>
    <w:rsid w:val="000D7631"/>
    <w:rsid w:val="000F5E30"/>
    <w:rsid w:val="00105824"/>
    <w:rsid w:val="00111076"/>
    <w:rsid w:val="0014096A"/>
    <w:rsid w:val="001572A2"/>
    <w:rsid w:val="001618F1"/>
    <w:rsid w:val="001753CC"/>
    <w:rsid w:val="00197BAD"/>
    <w:rsid w:val="001B1281"/>
    <w:rsid w:val="001C06E4"/>
    <w:rsid w:val="001C44B9"/>
    <w:rsid w:val="001C79FB"/>
    <w:rsid w:val="001E0C58"/>
    <w:rsid w:val="001E598F"/>
    <w:rsid w:val="002233C8"/>
    <w:rsid w:val="00227E18"/>
    <w:rsid w:val="002308FC"/>
    <w:rsid w:val="002432E1"/>
    <w:rsid w:val="002805F7"/>
    <w:rsid w:val="00294BC5"/>
    <w:rsid w:val="002D4209"/>
    <w:rsid w:val="002F4D3F"/>
    <w:rsid w:val="00311312"/>
    <w:rsid w:val="003121B9"/>
    <w:rsid w:val="00322E89"/>
    <w:rsid w:val="003311A0"/>
    <w:rsid w:val="00331FC2"/>
    <w:rsid w:val="003540CB"/>
    <w:rsid w:val="0039658A"/>
    <w:rsid w:val="003B0ACB"/>
    <w:rsid w:val="003D37C8"/>
    <w:rsid w:val="003D4AD8"/>
    <w:rsid w:val="004152E9"/>
    <w:rsid w:val="004213CC"/>
    <w:rsid w:val="004310DF"/>
    <w:rsid w:val="0046155B"/>
    <w:rsid w:val="00465B87"/>
    <w:rsid w:val="004B5F1E"/>
    <w:rsid w:val="004B6219"/>
    <w:rsid w:val="004D41BB"/>
    <w:rsid w:val="004E2FFC"/>
    <w:rsid w:val="005165B7"/>
    <w:rsid w:val="00516640"/>
    <w:rsid w:val="00554EB1"/>
    <w:rsid w:val="00556CE9"/>
    <w:rsid w:val="00573E66"/>
    <w:rsid w:val="00583079"/>
    <w:rsid w:val="005D33EF"/>
    <w:rsid w:val="005E1AA4"/>
    <w:rsid w:val="006159BF"/>
    <w:rsid w:val="00625448"/>
    <w:rsid w:val="00640ED7"/>
    <w:rsid w:val="0065409E"/>
    <w:rsid w:val="0066186C"/>
    <w:rsid w:val="00687222"/>
    <w:rsid w:val="00697ABD"/>
    <w:rsid w:val="006B5292"/>
    <w:rsid w:val="006B6783"/>
    <w:rsid w:val="006C3566"/>
    <w:rsid w:val="006D2D5C"/>
    <w:rsid w:val="006D7B61"/>
    <w:rsid w:val="006F6012"/>
    <w:rsid w:val="007376DB"/>
    <w:rsid w:val="00745380"/>
    <w:rsid w:val="00745740"/>
    <w:rsid w:val="00791E05"/>
    <w:rsid w:val="00795A2B"/>
    <w:rsid w:val="007C24F7"/>
    <w:rsid w:val="007C7A0F"/>
    <w:rsid w:val="007F7168"/>
    <w:rsid w:val="008010A5"/>
    <w:rsid w:val="00801B8F"/>
    <w:rsid w:val="00862474"/>
    <w:rsid w:val="00872646"/>
    <w:rsid w:val="00896452"/>
    <w:rsid w:val="00896A39"/>
    <w:rsid w:val="008A78A7"/>
    <w:rsid w:val="008C615C"/>
    <w:rsid w:val="008E4EE8"/>
    <w:rsid w:val="008F7AC8"/>
    <w:rsid w:val="00903EB0"/>
    <w:rsid w:val="00914BAF"/>
    <w:rsid w:val="009258E4"/>
    <w:rsid w:val="009368A3"/>
    <w:rsid w:val="00955423"/>
    <w:rsid w:val="00974D28"/>
    <w:rsid w:val="00976A2D"/>
    <w:rsid w:val="00977BA0"/>
    <w:rsid w:val="00984774"/>
    <w:rsid w:val="009A6A9A"/>
    <w:rsid w:val="00A06AE1"/>
    <w:rsid w:val="00A21A75"/>
    <w:rsid w:val="00A25B01"/>
    <w:rsid w:val="00A35316"/>
    <w:rsid w:val="00A45089"/>
    <w:rsid w:val="00A5223B"/>
    <w:rsid w:val="00A54091"/>
    <w:rsid w:val="00A61247"/>
    <w:rsid w:val="00A8677C"/>
    <w:rsid w:val="00A924BB"/>
    <w:rsid w:val="00AA2638"/>
    <w:rsid w:val="00AE4CA7"/>
    <w:rsid w:val="00AF0270"/>
    <w:rsid w:val="00AF6003"/>
    <w:rsid w:val="00AF748B"/>
    <w:rsid w:val="00B060CB"/>
    <w:rsid w:val="00B2110B"/>
    <w:rsid w:val="00B25594"/>
    <w:rsid w:val="00B461CF"/>
    <w:rsid w:val="00B57F55"/>
    <w:rsid w:val="00B6065B"/>
    <w:rsid w:val="00B850E1"/>
    <w:rsid w:val="00BB26BE"/>
    <w:rsid w:val="00BD52BA"/>
    <w:rsid w:val="00BD5CF5"/>
    <w:rsid w:val="00BE798D"/>
    <w:rsid w:val="00BF0E5F"/>
    <w:rsid w:val="00BF3773"/>
    <w:rsid w:val="00BF424A"/>
    <w:rsid w:val="00BF7AF3"/>
    <w:rsid w:val="00C04003"/>
    <w:rsid w:val="00C0643F"/>
    <w:rsid w:val="00C318CD"/>
    <w:rsid w:val="00C463F6"/>
    <w:rsid w:val="00C513CE"/>
    <w:rsid w:val="00C52819"/>
    <w:rsid w:val="00C65E25"/>
    <w:rsid w:val="00C75861"/>
    <w:rsid w:val="00C970BA"/>
    <w:rsid w:val="00C97F73"/>
    <w:rsid w:val="00CA6777"/>
    <w:rsid w:val="00CB3472"/>
    <w:rsid w:val="00CD3007"/>
    <w:rsid w:val="00CE6A12"/>
    <w:rsid w:val="00CF5E06"/>
    <w:rsid w:val="00D07E8B"/>
    <w:rsid w:val="00D20546"/>
    <w:rsid w:val="00D33986"/>
    <w:rsid w:val="00D411D7"/>
    <w:rsid w:val="00D83265"/>
    <w:rsid w:val="00D86286"/>
    <w:rsid w:val="00D87155"/>
    <w:rsid w:val="00D91785"/>
    <w:rsid w:val="00D97FCC"/>
    <w:rsid w:val="00DB6AAC"/>
    <w:rsid w:val="00E13FA7"/>
    <w:rsid w:val="00E15AF2"/>
    <w:rsid w:val="00E345B5"/>
    <w:rsid w:val="00E362B6"/>
    <w:rsid w:val="00E75051"/>
    <w:rsid w:val="00EC2609"/>
    <w:rsid w:val="00EC7265"/>
    <w:rsid w:val="00ED1615"/>
    <w:rsid w:val="00EE51D9"/>
    <w:rsid w:val="00EF1F4E"/>
    <w:rsid w:val="00F2282A"/>
    <w:rsid w:val="00F421A0"/>
    <w:rsid w:val="00F45876"/>
    <w:rsid w:val="00F607AD"/>
    <w:rsid w:val="00F66214"/>
    <w:rsid w:val="00F67D81"/>
    <w:rsid w:val="00F71F79"/>
    <w:rsid w:val="00F77E6A"/>
    <w:rsid w:val="00F932EB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3A20-12A0-456E-AAA5-8B1B6071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Balloon Text"/>
    <w:basedOn w:val="a"/>
    <w:semiHidden/>
    <w:rsid w:val="004213CC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165B7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5165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5165B7"/>
    <w:rPr>
      <w:sz w:val="24"/>
      <w:szCs w:val="24"/>
      <w:lang w:val="ru-RU" w:eastAsia="ru-RU"/>
    </w:rPr>
  </w:style>
  <w:style w:type="paragraph" w:customStyle="1" w:styleId="rvps102">
    <w:name w:val="rvps102"/>
    <w:basedOn w:val="a"/>
    <w:rsid w:val="00004BE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">
    <w:name w:val="rvts8"/>
    <w:rsid w:val="00004BE9"/>
  </w:style>
  <w:style w:type="paragraph" w:styleId="a7">
    <w:name w:val="header"/>
    <w:basedOn w:val="a"/>
    <w:link w:val="a8"/>
    <w:uiPriority w:val="99"/>
    <w:semiHidden/>
    <w:unhideWhenUsed/>
    <w:rsid w:val="00294BC5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94BC5"/>
    <w:rPr>
      <w:lang w:val="en-US" w:eastAsia="ru-RU"/>
    </w:rPr>
  </w:style>
  <w:style w:type="paragraph" w:customStyle="1" w:styleId="rvps6">
    <w:name w:val="rvps6"/>
    <w:basedOn w:val="a"/>
    <w:rsid w:val="00294BC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1643-05E6-4179-92C7-999C6528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8248</Words>
  <Characters>4702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МВК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Попович Любов Дмитрiвна</dc:creator>
  <cp:keywords/>
  <cp:lastModifiedBy>Admin</cp:lastModifiedBy>
  <cp:revision>2</cp:revision>
  <cp:lastPrinted>2023-05-12T05:50:00Z</cp:lastPrinted>
  <dcterms:created xsi:type="dcterms:W3CDTF">2023-05-24T11:47:00Z</dcterms:created>
  <dcterms:modified xsi:type="dcterms:W3CDTF">2023-05-24T11:47:00Z</dcterms:modified>
</cp:coreProperties>
</file>