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72" w:rsidRDefault="00243772" w:rsidP="00243772">
      <w:pPr>
        <w:pStyle w:val="Title"/>
        <w:ind w:left="5040"/>
        <w:rPr>
          <w:b w:val="0"/>
        </w:rPr>
      </w:pPr>
      <w:r>
        <w:rPr>
          <w:b w:val="0"/>
        </w:rPr>
        <w:t>Додаток</w:t>
      </w:r>
    </w:p>
    <w:p w:rsidR="00243772" w:rsidRDefault="00243772" w:rsidP="00243772">
      <w:pPr>
        <w:pStyle w:val="Title"/>
        <w:jc w:val="right"/>
        <w:rPr>
          <w:b w:val="0"/>
        </w:rPr>
      </w:pPr>
      <w:r>
        <w:rPr>
          <w:b w:val="0"/>
        </w:rPr>
        <w:t>до рішення виконавчого комітету</w:t>
      </w:r>
    </w:p>
    <w:p w:rsidR="00243772" w:rsidRDefault="00243772" w:rsidP="00243772">
      <w:pPr>
        <w:pStyle w:val="Title"/>
        <w:jc w:val="right"/>
        <w:rPr>
          <w:b w:val="0"/>
        </w:rPr>
      </w:pPr>
      <w:r>
        <w:rPr>
          <w:b w:val="0"/>
        </w:rPr>
        <w:t>міської ради від ________ № ____</w:t>
      </w:r>
    </w:p>
    <w:p w:rsidR="00243772" w:rsidRDefault="00243772" w:rsidP="00243772">
      <w:pPr>
        <w:pStyle w:val="Title"/>
        <w:rPr>
          <w:b w:val="0"/>
        </w:rPr>
      </w:pPr>
    </w:p>
    <w:p w:rsidR="00243772" w:rsidRDefault="00243772" w:rsidP="00243772">
      <w:pPr>
        <w:jc w:val="center"/>
        <w:rPr>
          <w:b/>
          <w:sz w:val="28"/>
          <w:lang w:val="uk-UA"/>
        </w:rPr>
      </w:pPr>
      <w:r>
        <w:rPr>
          <w:b/>
          <w:sz w:val="28"/>
        </w:rPr>
        <w:t xml:space="preserve">Інформація про виконання Програми підтримки малого підприємництва в м.Івано-Франківську </w:t>
      </w:r>
      <w:r>
        <w:rPr>
          <w:b/>
          <w:sz w:val="28"/>
          <w:lang w:val="uk-UA"/>
        </w:rPr>
        <w:t>на 2005-2006 роки</w:t>
      </w:r>
    </w:p>
    <w:p w:rsidR="00243772" w:rsidRDefault="00243772" w:rsidP="00243772">
      <w:pPr>
        <w:jc w:val="center"/>
        <w:rPr>
          <w:b/>
          <w:sz w:val="28"/>
          <w:lang w:val="uk-UA"/>
        </w:rPr>
      </w:pPr>
      <w:r>
        <w:rPr>
          <w:b/>
          <w:sz w:val="28"/>
        </w:rPr>
        <w:t xml:space="preserve">за </w:t>
      </w:r>
      <w:r>
        <w:rPr>
          <w:b/>
          <w:sz w:val="28"/>
          <w:lang w:val="uk-UA"/>
        </w:rPr>
        <w:t xml:space="preserve">підсумками </w:t>
      </w:r>
      <w:r>
        <w:rPr>
          <w:b/>
          <w:sz w:val="28"/>
        </w:rPr>
        <w:t>200</w:t>
      </w:r>
      <w:r>
        <w:rPr>
          <w:b/>
          <w:sz w:val="28"/>
          <w:lang w:val="uk-UA"/>
        </w:rPr>
        <w:t>5</w:t>
      </w:r>
      <w:r>
        <w:rPr>
          <w:b/>
          <w:sz w:val="28"/>
        </w:rPr>
        <w:t xml:space="preserve"> р</w:t>
      </w:r>
      <w:r>
        <w:rPr>
          <w:b/>
          <w:sz w:val="28"/>
          <w:lang w:val="uk-UA"/>
        </w:rPr>
        <w:t>о</w:t>
      </w:r>
      <w:r>
        <w:rPr>
          <w:b/>
          <w:sz w:val="28"/>
        </w:rPr>
        <w:t>к</w:t>
      </w:r>
      <w:r>
        <w:rPr>
          <w:b/>
          <w:sz w:val="28"/>
          <w:lang w:val="uk-UA"/>
        </w:rPr>
        <w:t>у</w:t>
      </w:r>
    </w:p>
    <w:p w:rsidR="00243772" w:rsidRDefault="00243772" w:rsidP="00243772">
      <w:pPr>
        <w:pStyle w:val="Title"/>
        <w:jc w:val="both"/>
        <w:rPr>
          <w:b w:val="0"/>
          <w:sz w:val="12"/>
          <w:lang w:val="ru-RU"/>
        </w:rPr>
      </w:pPr>
    </w:p>
    <w:p w:rsidR="00243772" w:rsidRDefault="00243772" w:rsidP="00243772">
      <w:pPr>
        <w:jc w:val="center"/>
        <w:rPr>
          <w:b/>
          <w:sz w:val="28"/>
        </w:rPr>
      </w:pPr>
      <w:r>
        <w:rPr>
          <w:b/>
          <w:sz w:val="28"/>
          <w:lang w:val="uk-UA"/>
        </w:rPr>
        <w:t>1</w:t>
      </w:r>
      <w:r>
        <w:rPr>
          <w:b/>
          <w:sz w:val="28"/>
        </w:rPr>
        <w:t>. Аналіз стану та розвитку малого підприємництва в місті</w:t>
      </w:r>
    </w:p>
    <w:p w:rsidR="00243772" w:rsidRDefault="00243772" w:rsidP="00243772">
      <w:pPr>
        <w:pStyle w:val="Title"/>
        <w:jc w:val="both"/>
        <w:rPr>
          <w:b w:val="0"/>
          <w:sz w:val="12"/>
          <w:lang w:val="ru-RU"/>
        </w:rPr>
      </w:pPr>
    </w:p>
    <w:p w:rsidR="00243772" w:rsidRDefault="00243772" w:rsidP="00243772">
      <w:pPr>
        <w:ind w:firstLine="709"/>
        <w:jc w:val="both"/>
        <w:rPr>
          <w:sz w:val="28"/>
          <w:lang w:val="uk-UA"/>
        </w:rPr>
      </w:pPr>
      <w:r>
        <w:rPr>
          <w:sz w:val="28"/>
        </w:rPr>
        <w:t>Станом на 01.01.</w:t>
      </w:r>
      <w:r>
        <w:rPr>
          <w:sz w:val="28"/>
          <w:lang w:val="uk-UA"/>
        </w:rPr>
        <w:t>20</w:t>
      </w:r>
      <w:r>
        <w:rPr>
          <w:sz w:val="28"/>
        </w:rPr>
        <w:t>0</w:t>
      </w:r>
      <w:r>
        <w:rPr>
          <w:sz w:val="28"/>
          <w:lang w:val="uk-UA"/>
        </w:rPr>
        <w:t>6</w:t>
      </w:r>
      <w:r>
        <w:rPr>
          <w:sz w:val="28"/>
        </w:rPr>
        <w:t xml:space="preserve">р. в м.Івано-Франківську зареєстровано </w:t>
      </w:r>
      <w:r>
        <w:rPr>
          <w:sz w:val="28"/>
          <w:lang w:val="uk-UA"/>
        </w:rPr>
        <w:t>22042</w:t>
      </w:r>
      <w:r>
        <w:rPr>
          <w:sz w:val="28"/>
        </w:rPr>
        <w:t xml:space="preserve"> суб’єктів підприємницької діяльності - юридичних та фізичних осіб. З них кількість юридичних осіб становила 8</w:t>
      </w:r>
      <w:r>
        <w:rPr>
          <w:sz w:val="28"/>
          <w:lang w:val="uk-UA"/>
        </w:rPr>
        <w:t>900</w:t>
      </w:r>
      <w:r>
        <w:rPr>
          <w:sz w:val="28"/>
        </w:rPr>
        <w:t>, що на 2,</w:t>
      </w:r>
      <w:r>
        <w:rPr>
          <w:sz w:val="28"/>
          <w:lang w:val="uk-UA"/>
        </w:rPr>
        <w:t>7</w:t>
      </w:r>
      <w:r>
        <w:rPr>
          <w:sz w:val="28"/>
        </w:rPr>
        <w:t xml:space="preserve">% </w:t>
      </w:r>
      <w:r>
        <w:rPr>
          <w:sz w:val="28"/>
          <w:lang w:val="uk-UA"/>
        </w:rPr>
        <w:t>перевищує</w:t>
      </w:r>
      <w:r>
        <w:rPr>
          <w:sz w:val="28"/>
        </w:rPr>
        <w:t xml:space="preserve"> минулорічний показник, та суб’єктів підприємницької діяльності - фізичних осіб -</w:t>
      </w:r>
      <w:r>
        <w:rPr>
          <w:sz w:val="28"/>
          <w:lang w:val="uk-UA"/>
        </w:rPr>
        <w:t> </w:t>
      </w:r>
      <w:r>
        <w:rPr>
          <w:sz w:val="28"/>
        </w:rPr>
        <w:t>13</w:t>
      </w:r>
      <w:r>
        <w:rPr>
          <w:sz w:val="28"/>
          <w:lang w:val="uk-UA"/>
        </w:rPr>
        <w:t>142</w:t>
      </w:r>
      <w:r>
        <w:rPr>
          <w:sz w:val="28"/>
        </w:rPr>
        <w:t>, що на 1,</w:t>
      </w:r>
      <w:r>
        <w:rPr>
          <w:sz w:val="28"/>
          <w:lang w:val="uk-UA"/>
        </w:rPr>
        <w:t>1</w:t>
      </w:r>
      <w:r>
        <w:rPr>
          <w:sz w:val="28"/>
        </w:rPr>
        <w:t xml:space="preserve">% </w:t>
      </w:r>
      <w:r>
        <w:rPr>
          <w:sz w:val="28"/>
          <w:lang w:val="uk-UA"/>
        </w:rPr>
        <w:t>менше,</w:t>
      </w:r>
      <w:r>
        <w:rPr>
          <w:sz w:val="28"/>
        </w:rPr>
        <w:t xml:space="preserve"> ніж за аналогічний період минулого року. Протягом 200</w:t>
      </w:r>
      <w:r>
        <w:rPr>
          <w:sz w:val="28"/>
          <w:lang w:val="uk-UA"/>
        </w:rPr>
        <w:t xml:space="preserve">5 </w:t>
      </w:r>
      <w:r>
        <w:rPr>
          <w:sz w:val="28"/>
        </w:rPr>
        <w:t>р</w:t>
      </w:r>
      <w:r>
        <w:rPr>
          <w:sz w:val="28"/>
          <w:lang w:val="uk-UA"/>
        </w:rPr>
        <w:t>оку</w:t>
      </w:r>
      <w:r>
        <w:rPr>
          <w:sz w:val="28"/>
        </w:rPr>
        <w:t xml:space="preserve"> в місті було зареєстровано </w:t>
      </w:r>
      <w:r>
        <w:rPr>
          <w:sz w:val="28"/>
          <w:lang w:val="uk-UA"/>
        </w:rPr>
        <w:t>301</w:t>
      </w:r>
      <w:r>
        <w:rPr>
          <w:sz w:val="28"/>
        </w:rPr>
        <w:t xml:space="preserve"> юридичних осіб</w:t>
      </w:r>
      <w:r>
        <w:rPr>
          <w:sz w:val="28"/>
          <w:lang w:val="uk-UA"/>
        </w:rPr>
        <w:t xml:space="preserve"> (на 8,7% більше, ніж протягом 2004 року)</w:t>
      </w:r>
      <w:r>
        <w:rPr>
          <w:sz w:val="28"/>
        </w:rPr>
        <w:t xml:space="preserve"> та 2</w:t>
      </w:r>
      <w:r>
        <w:rPr>
          <w:sz w:val="28"/>
          <w:lang w:val="uk-UA"/>
        </w:rPr>
        <w:t>248</w:t>
      </w:r>
      <w:r>
        <w:rPr>
          <w:sz w:val="28"/>
        </w:rPr>
        <w:t xml:space="preserve"> суб’єктів підприємницької діяльності без створення юридичної особи</w:t>
      </w:r>
      <w:r>
        <w:rPr>
          <w:sz w:val="28"/>
          <w:lang w:val="uk-UA"/>
        </w:rPr>
        <w:t xml:space="preserve"> (на 8,9% менше, ніж протягом 2004 року)</w:t>
      </w:r>
      <w:r>
        <w:rPr>
          <w:sz w:val="28"/>
        </w:rPr>
        <w:t>.</w:t>
      </w:r>
      <w:r>
        <w:rPr>
          <w:sz w:val="28"/>
          <w:lang w:val="uk-UA"/>
        </w:rPr>
        <w:t xml:space="preserve"> Протягом звітного періоду скасовано державну реєстрацію 91 юридичної особи (93,8% до 2004 року) та 599 фізичних осіб підприємців (67,5% до 2004 року). У 2005 році спостерігалась тенденція збільшення кількості зареєстрованих юридичних осіб та зменшення суб’єктів підприємництва без створення юридичної особи порівняно з 2004 роком.</w:t>
      </w:r>
    </w:p>
    <w:p w:rsidR="00243772" w:rsidRDefault="00243772" w:rsidP="00243772">
      <w:pPr>
        <w:ind w:firstLine="709"/>
        <w:jc w:val="both"/>
        <w:rPr>
          <w:sz w:val="28"/>
          <w:lang w:val="uk-UA"/>
        </w:rPr>
      </w:pPr>
      <w:r>
        <w:rPr>
          <w:sz w:val="28"/>
          <w:lang w:val="uk-UA"/>
        </w:rPr>
        <w:t>За попередніми даними станом на 01.01.2006р. кількість зареєстрованих суб’єктів малого підприємництва становила 5780, з них діючих – 3150 (на 91, або на 3% більше у порівнянні з аналогічним показником минулого року).</w:t>
      </w:r>
    </w:p>
    <w:p w:rsidR="00243772" w:rsidRDefault="00243772" w:rsidP="00243772">
      <w:pPr>
        <w:pStyle w:val="Title"/>
        <w:ind w:firstLine="708"/>
        <w:jc w:val="both"/>
        <w:rPr>
          <w:b w:val="0"/>
        </w:rPr>
      </w:pPr>
    </w:p>
    <w:tbl>
      <w:tblPr>
        <w:tblW w:w="0" w:type="auto"/>
        <w:tblLayout w:type="fixed"/>
        <w:tblLook w:val="01E0" w:firstRow="1" w:lastRow="1" w:firstColumn="1" w:lastColumn="1" w:noHBand="0" w:noVBand="0"/>
      </w:tblPr>
      <w:tblGrid>
        <w:gridCol w:w="4608"/>
        <w:gridCol w:w="4678"/>
      </w:tblGrid>
      <w:tr w:rsidR="00243772" w:rsidTr="00665215">
        <w:tblPrEx>
          <w:tblCellMar>
            <w:top w:w="0" w:type="dxa"/>
            <w:bottom w:w="0" w:type="dxa"/>
          </w:tblCellMar>
        </w:tblPrEx>
        <w:tc>
          <w:tcPr>
            <w:tcW w:w="4608" w:type="dxa"/>
          </w:tcPr>
          <w:p w:rsidR="00243772" w:rsidRDefault="00243772" w:rsidP="00665215">
            <w:pPr>
              <w:pStyle w:val="Title"/>
              <w:jc w:val="both"/>
              <w:rPr>
                <w:b w:val="0"/>
              </w:rPr>
            </w:pPr>
            <w:r>
              <w:rPr>
                <w:noProof/>
                <w:lang w:eastAsia="uk-UA"/>
              </w:rPr>
              <w:drawing>
                <wp:inline distT="0" distB="0" distL="0" distR="0">
                  <wp:extent cx="2976245" cy="162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245" cy="1622425"/>
                          </a:xfrm>
                          <a:prstGeom prst="rect">
                            <a:avLst/>
                          </a:prstGeom>
                          <a:noFill/>
                          <a:ln>
                            <a:noFill/>
                          </a:ln>
                        </pic:spPr>
                      </pic:pic>
                    </a:graphicData>
                  </a:graphic>
                </wp:inline>
              </w:drawing>
            </w:r>
          </w:p>
          <w:p w:rsidR="00243772" w:rsidRDefault="00243772" w:rsidP="00665215">
            <w:pPr>
              <w:tabs>
                <w:tab w:val="left" w:pos="3433"/>
              </w:tabs>
              <w:rPr>
                <w:sz w:val="22"/>
                <w:lang w:val="uk-UA"/>
              </w:rPr>
            </w:pPr>
          </w:p>
          <w:p w:rsidR="00243772" w:rsidRDefault="00243772" w:rsidP="00665215">
            <w:pPr>
              <w:tabs>
                <w:tab w:val="left" w:pos="3433"/>
              </w:tabs>
              <w:rPr>
                <w:sz w:val="22"/>
                <w:lang w:val="uk-UA"/>
              </w:rPr>
            </w:pPr>
          </w:p>
          <w:p w:rsidR="00243772" w:rsidRDefault="00243772" w:rsidP="00665215">
            <w:pPr>
              <w:tabs>
                <w:tab w:val="left" w:pos="3433"/>
              </w:tabs>
              <w:rPr>
                <w:sz w:val="22"/>
                <w:lang w:val="uk-UA"/>
              </w:rPr>
            </w:pPr>
            <w:r>
              <w:rPr>
                <w:sz w:val="22"/>
                <w:lang w:val="uk-UA"/>
              </w:rPr>
              <w:t>Діаграма 1. Динаміка кількості діючих малих  підприємств протягом 1992-2005 років.</w:t>
            </w:r>
          </w:p>
          <w:p w:rsidR="00243772" w:rsidRDefault="00243772" w:rsidP="00665215">
            <w:pPr>
              <w:tabs>
                <w:tab w:val="left" w:pos="3433"/>
              </w:tabs>
              <w:rPr>
                <w:lang w:val="uk-UA"/>
              </w:rPr>
            </w:pPr>
          </w:p>
        </w:tc>
        <w:tc>
          <w:tcPr>
            <w:tcW w:w="4678" w:type="dxa"/>
          </w:tcPr>
          <w:p w:rsidR="00243772" w:rsidRDefault="00243772" w:rsidP="00665215">
            <w:pPr>
              <w:pStyle w:val="Title"/>
              <w:jc w:val="both"/>
              <w:rPr>
                <w:b w:val="0"/>
              </w:rPr>
            </w:pPr>
            <w:r>
              <w:rPr>
                <w:b w:val="0"/>
                <w:noProof/>
                <w:lang w:eastAsia="uk-UA"/>
              </w:rPr>
              <w:drawing>
                <wp:inline distT="0" distB="0" distL="0" distR="0">
                  <wp:extent cx="2832735" cy="19989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35" cy="1998980"/>
                          </a:xfrm>
                          <a:prstGeom prst="rect">
                            <a:avLst/>
                          </a:prstGeom>
                          <a:noFill/>
                          <a:ln>
                            <a:noFill/>
                          </a:ln>
                        </pic:spPr>
                      </pic:pic>
                    </a:graphicData>
                  </a:graphic>
                </wp:inline>
              </w:drawing>
            </w:r>
          </w:p>
          <w:p w:rsidR="00243772" w:rsidRDefault="00243772" w:rsidP="00665215">
            <w:pPr>
              <w:pStyle w:val="Title"/>
              <w:jc w:val="both"/>
              <w:rPr>
                <w:b w:val="0"/>
                <w:sz w:val="22"/>
              </w:rPr>
            </w:pPr>
            <w:r>
              <w:rPr>
                <w:b w:val="0"/>
                <w:sz w:val="22"/>
              </w:rPr>
              <w:t>Діаграма 2. Динаміка кількості суб’єктів малого підприємництва протягом               2000-2005 років.</w:t>
            </w:r>
          </w:p>
        </w:tc>
      </w:tr>
    </w:tbl>
    <w:p w:rsidR="00243772" w:rsidRDefault="00243772" w:rsidP="00243772">
      <w:pPr>
        <w:pStyle w:val="Title"/>
        <w:ind w:firstLine="708"/>
        <w:jc w:val="both"/>
      </w:pPr>
      <w:r>
        <w:rPr>
          <w:b w:val="0"/>
        </w:rPr>
        <w:t xml:space="preserve">Збільшилась на 4 од. порівняно з 2004 роком кількість діючих малих підприємств на 10 тис.осіб наявного населення та досягла 135. Водночас кількість суб’єктів підприємництва без створення юридичної особи, що </w:t>
      </w:r>
      <w:r>
        <w:rPr>
          <w:b w:val="0"/>
        </w:rPr>
        <w:lastRenderedPageBreak/>
        <w:t>сплачують податки, станом на 01.01.2006р. зменшилась та склала 513 на 10 тис. осіб наявного населення.</w:t>
      </w:r>
    </w:p>
    <w:p w:rsidR="00243772" w:rsidRDefault="00243772" w:rsidP="00243772">
      <w:pPr>
        <w:ind w:firstLine="709"/>
        <w:jc w:val="both"/>
        <w:rPr>
          <w:sz w:val="28"/>
          <w:lang w:val="uk-UA"/>
        </w:rPr>
      </w:pPr>
      <w:r>
        <w:rPr>
          <w:sz w:val="28"/>
          <w:lang w:val="uk-UA"/>
        </w:rPr>
        <w:t>Найбільша кількість суб’єктів підприємництва</w:t>
      </w:r>
      <w:r>
        <w:rPr>
          <w:sz w:val="28"/>
        </w:rPr>
        <w:t> </w:t>
      </w:r>
      <w:r>
        <w:rPr>
          <w:sz w:val="28"/>
          <w:lang w:val="uk-UA"/>
        </w:rPr>
        <w:t>-</w:t>
      </w:r>
      <w:r>
        <w:rPr>
          <w:sz w:val="28"/>
        </w:rPr>
        <w:t> </w:t>
      </w:r>
      <w:r>
        <w:rPr>
          <w:sz w:val="28"/>
          <w:lang w:val="uk-UA"/>
        </w:rPr>
        <w:t xml:space="preserve">юридичних та фізичних осіб за підсумками 2005 року працювали за спрощеною системою оподаткування діяльності (сплата єдиного податку). Спостерігається тенденція збільшення кількості суб’ктів малого підприємництва, які працюють за спрощеною системою оподаткування. </w:t>
      </w:r>
    </w:p>
    <w:p w:rsidR="00243772" w:rsidRDefault="00243772" w:rsidP="00243772">
      <w:pPr>
        <w:ind w:firstLine="709"/>
        <w:jc w:val="both"/>
        <w:rPr>
          <w:sz w:val="28"/>
        </w:rPr>
      </w:pPr>
      <w:r>
        <w:rPr>
          <w:sz w:val="28"/>
          <w:lang w:val="uk-UA"/>
        </w:rPr>
        <w:t xml:space="preserve">Питома вага суб’єктів підприємницької діяльності, що станом на 01.01.2006р. працювали за спрощеною системою оподаткування, становила 53,8% в загальній кількості суб’єктів малого підприємництва. </w:t>
      </w:r>
      <w:r>
        <w:rPr>
          <w:sz w:val="28"/>
        </w:rPr>
        <w:t xml:space="preserve">Проти 2003р. кількість суб’єктів підприємницької діяльності (юридичних та фізичних осіб), що сплачували єдиний податок, зросла на </w:t>
      </w:r>
      <w:r>
        <w:rPr>
          <w:sz w:val="28"/>
          <w:lang w:val="uk-UA"/>
        </w:rPr>
        <w:t>1210</w:t>
      </w:r>
      <w:r>
        <w:rPr>
          <w:sz w:val="28"/>
        </w:rPr>
        <w:t xml:space="preserve"> або на 1</w:t>
      </w:r>
      <w:r>
        <w:rPr>
          <w:sz w:val="28"/>
          <w:lang w:val="uk-UA"/>
        </w:rPr>
        <w:t>7</w:t>
      </w:r>
      <w:r>
        <w:rPr>
          <w:sz w:val="28"/>
        </w:rPr>
        <w:t>,</w:t>
      </w:r>
      <w:r>
        <w:rPr>
          <w:sz w:val="28"/>
          <w:lang w:val="uk-UA"/>
        </w:rPr>
        <w:t>5</w:t>
      </w:r>
      <w:r>
        <w:rPr>
          <w:sz w:val="28"/>
        </w:rPr>
        <w:t xml:space="preserve">% та склала станом на 01.01.2005р. </w:t>
      </w:r>
      <w:r>
        <w:rPr>
          <w:sz w:val="28"/>
          <w:lang w:val="uk-UA"/>
        </w:rPr>
        <w:t>8132</w:t>
      </w:r>
      <w:r>
        <w:rPr>
          <w:sz w:val="28"/>
        </w:rPr>
        <w:t>.</w:t>
      </w:r>
    </w:p>
    <w:p w:rsidR="00243772" w:rsidRDefault="00243772" w:rsidP="00243772">
      <w:pPr>
        <w:ind w:firstLine="709"/>
        <w:jc w:val="both"/>
        <w:rPr>
          <w:sz w:val="28"/>
        </w:rPr>
      </w:pPr>
      <w:r>
        <w:rPr>
          <w:sz w:val="28"/>
        </w:rPr>
        <w:t>Як наслідок, відбулось збільшення надходжень до міського бюджету від сплати суб’єктами малого підприємництва єдиного податку. Так, протягом 200</w:t>
      </w:r>
      <w:r>
        <w:rPr>
          <w:sz w:val="28"/>
          <w:lang w:val="uk-UA"/>
        </w:rPr>
        <w:t>5 року</w:t>
      </w:r>
      <w:r>
        <w:rPr>
          <w:sz w:val="28"/>
        </w:rPr>
        <w:t xml:space="preserve"> до бюджету міста надійшло єдиного податку у розмірі 7</w:t>
      </w:r>
      <w:r>
        <w:rPr>
          <w:sz w:val="28"/>
          <w:lang w:val="uk-UA"/>
        </w:rPr>
        <w:t>536</w:t>
      </w:r>
      <w:r>
        <w:rPr>
          <w:sz w:val="28"/>
        </w:rPr>
        <w:t>,</w:t>
      </w:r>
      <w:r>
        <w:rPr>
          <w:sz w:val="28"/>
          <w:lang w:val="uk-UA"/>
        </w:rPr>
        <w:t>7</w:t>
      </w:r>
      <w:r>
        <w:rPr>
          <w:sz w:val="28"/>
        </w:rPr>
        <w:t xml:space="preserve"> тис.грн., що на </w:t>
      </w:r>
      <w:r>
        <w:rPr>
          <w:sz w:val="28"/>
          <w:lang w:val="uk-UA"/>
        </w:rPr>
        <w:t>279</w:t>
      </w:r>
      <w:r>
        <w:rPr>
          <w:sz w:val="28"/>
        </w:rPr>
        <w:t>,</w:t>
      </w:r>
      <w:r>
        <w:rPr>
          <w:sz w:val="28"/>
          <w:lang w:val="uk-UA"/>
        </w:rPr>
        <w:t>9</w:t>
      </w:r>
      <w:r>
        <w:rPr>
          <w:sz w:val="28"/>
        </w:rPr>
        <w:t xml:space="preserve"> тис.грн. або </w:t>
      </w:r>
      <w:r>
        <w:rPr>
          <w:sz w:val="28"/>
          <w:lang w:val="uk-UA"/>
        </w:rPr>
        <w:t>3,9</w:t>
      </w:r>
      <w:r>
        <w:rPr>
          <w:sz w:val="28"/>
        </w:rPr>
        <w:t>% більше, ніж у 200</w:t>
      </w:r>
      <w:r>
        <w:rPr>
          <w:sz w:val="28"/>
          <w:lang w:val="uk-UA"/>
        </w:rPr>
        <w:t>4 році</w:t>
      </w:r>
      <w:r>
        <w:rPr>
          <w:sz w:val="28"/>
        </w:rPr>
        <w:t>.</w:t>
      </w:r>
    </w:p>
    <w:p w:rsidR="00243772" w:rsidRDefault="00243772" w:rsidP="00243772">
      <w:pPr>
        <w:pStyle w:val="Title"/>
        <w:ind w:firstLine="708"/>
        <w:jc w:val="both"/>
        <w:rPr>
          <w:b w:val="0"/>
        </w:rPr>
      </w:pPr>
      <w:r>
        <w:rPr>
          <w:b w:val="0"/>
        </w:rPr>
        <w:t>Серед суб’єктів підприємницької діяльності без створення юридичної особи, що сплачували податки, більше половини працювали за спрощеною системою оподаткування. Фіксований податок сплачувало 1936 приватних підприємців, надходження від якого до міського бюджету станом на 01.01.2006р. склали 1062,2 тис.грн.</w:t>
      </w:r>
    </w:p>
    <w:tbl>
      <w:tblPr>
        <w:tblW w:w="0" w:type="auto"/>
        <w:tblLayout w:type="fixed"/>
        <w:tblLook w:val="01E0" w:firstRow="1" w:lastRow="1" w:firstColumn="1" w:lastColumn="1" w:noHBand="0" w:noVBand="0"/>
      </w:tblPr>
      <w:tblGrid>
        <w:gridCol w:w="4788"/>
        <w:gridCol w:w="4498"/>
      </w:tblGrid>
      <w:tr w:rsidR="00243772" w:rsidTr="00665215">
        <w:tblPrEx>
          <w:tblCellMar>
            <w:top w:w="0" w:type="dxa"/>
            <w:bottom w:w="0" w:type="dxa"/>
          </w:tblCellMar>
        </w:tblPrEx>
        <w:tc>
          <w:tcPr>
            <w:tcW w:w="4788" w:type="dxa"/>
          </w:tcPr>
          <w:p w:rsidR="00243772" w:rsidRDefault="00243772" w:rsidP="00665215">
            <w:pPr>
              <w:pStyle w:val="Title"/>
              <w:jc w:val="both"/>
            </w:pPr>
            <w:r>
              <w:rPr>
                <w:noProof/>
                <w:lang w:eastAsia="uk-UA"/>
              </w:rPr>
              <w:drawing>
                <wp:inline distT="0" distB="0" distL="0" distR="0">
                  <wp:extent cx="2860040" cy="177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774825"/>
                          </a:xfrm>
                          <a:prstGeom prst="rect">
                            <a:avLst/>
                          </a:prstGeom>
                          <a:noFill/>
                          <a:ln>
                            <a:noFill/>
                          </a:ln>
                        </pic:spPr>
                      </pic:pic>
                    </a:graphicData>
                  </a:graphic>
                </wp:inline>
              </w:drawing>
            </w:r>
          </w:p>
          <w:p w:rsidR="00243772" w:rsidRDefault="00243772" w:rsidP="00665215">
            <w:pPr>
              <w:pStyle w:val="Title"/>
              <w:jc w:val="both"/>
              <w:rPr>
                <w:b w:val="0"/>
                <w:sz w:val="22"/>
              </w:rPr>
            </w:pPr>
            <w:r>
              <w:rPr>
                <w:b w:val="0"/>
                <w:sz w:val="22"/>
              </w:rPr>
              <w:t>Діаграма 3. Динаміка кількості суб’ктів малого підприємництва на 10 тис. осіб наявного населення протягом 2000-2005 років.</w:t>
            </w:r>
          </w:p>
        </w:tc>
        <w:tc>
          <w:tcPr>
            <w:tcW w:w="4498" w:type="dxa"/>
          </w:tcPr>
          <w:p w:rsidR="00243772" w:rsidRDefault="00243772" w:rsidP="00665215">
            <w:pPr>
              <w:pStyle w:val="Title"/>
              <w:jc w:val="both"/>
            </w:pPr>
            <w:r>
              <w:rPr>
                <w:noProof/>
                <w:lang w:eastAsia="uk-UA"/>
              </w:rPr>
              <w:drawing>
                <wp:inline distT="0" distB="0" distL="0" distR="0">
                  <wp:extent cx="2832735" cy="1793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735" cy="1793240"/>
                          </a:xfrm>
                          <a:prstGeom prst="rect">
                            <a:avLst/>
                          </a:prstGeom>
                          <a:noFill/>
                          <a:ln>
                            <a:noFill/>
                          </a:ln>
                        </pic:spPr>
                      </pic:pic>
                    </a:graphicData>
                  </a:graphic>
                </wp:inline>
              </w:drawing>
            </w:r>
          </w:p>
          <w:p w:rsidR="00243772" w:rsidRDefault="00243772" w:rsidP="00665215">
            <w:pPr>
              <w:pStyle w:val="Title"/>
              <w:jc w:val="both"/>
              <w:rPr>
                <w:b w:val="0"/>
                <w:sz w:val="22"/>
              </w:rPr>
            </w:pPr>
            <w:r>
              <w:rPr>
                <w:b w:val="0"/>
                <w:sz w:val="22"/>
              </w:rPr>
              <w:t>Діаграма 4. Оподаткування доходів приватних підприємців від здійснення підприємницької діяльності.</w:t>
            </w:r>
          </w:p>
        </w:tc>
      </w:tr>
    </w:tbl>
    <w:p w:rsidR="00243772" w:rsidRDefault="00243772" w:rsidP="00243772">
      <w:pPr>
        <w:pStyle w:val="Title"/>
        <w:ind w:firstLine="708"/>
        <w:jc w:val="both"/>
        <w:rPr>
          <w:b w:val="0"/>
        </w:rPr>
      </w:pPr>
      <w:r>
        <w:rPr>
          <w:b w:val="0"/>
        </w:rPr>
        <w:t>За попередніми даними структура сфери діяльності підприємств малого бізнесу відображає, як і раніше, найбільшу частку посередницько -торгівельної діяльності (понад 60%), де швидше і без значних затрат можна отримати прибуток. Крім того, найбільша кількість малих підприємств працює в таких сферах економіки, як промисловість (15,9%), будівництво (11,4%)</w:t>
      </w:r>
      <w:r>
        <w:rPr>
          <w:b w:val="0"/>
          <w:snapToGrid w:val="0"/>
          <w:color w:val="000000"/>
        </w:rPr>
        <w:t>.</w:t>
      </w:r>
    </w:p>
    <w:p w:rsidR="00243772" w:rsidRDefault="00243772" w:rsidP="00243772">
      <w:pPr>
        <w:pStyle w:val="Title"/>
      </w:pPr>
      <w:r>
        <w:rPr>
          <w:noProof/>
          <w:lang w:eastAsia="uk-UA"/>
        </w:rPr>
        <w:drawing>
          <wp:inline distT="0" distB="0" distL="0" distR="0">
            <wp:extent cx="309308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085" cy="1066800"/>
                    </a:xfrm>
                    <a:prstGeom prst="rect">
                      <a:avLst/>
                    </a:prstGeom>
                    <a:noFill/>
                    <a:ln>
                      <a:noFill/>
                    </a:ln>
                  </pic:spPr>
                </pic:pic>
              </a:graphicData>
            </a:graphic>
          </wp:inline>
        </w:drawing>
      </w:r>
    </w:p>
    <w:p w:rsidR="00243772" w:rsidRDefault="00243772" w:rsidP="00243772">
      <w:pPr>
        <w:jc w:val="both"/>
        <w:rPr>
          <w:sz w:val="28"/>
          <w:lang w:val="uk-UA"/>
        </w:rPr>
      </w:pPr>
      <w:r>
        <w:rPr>
          <w:sz w:val="28"/>
          <w:lang w:val="uk-UA"/>
        </w:rPr>
        <w:lastRenderedPageBreak/>
        <w:tab/>
        <w:t>Протягом звітного періоду в сфері підприємництва створено 10684 робочих місць, в тому числі – 2248 приватні підприємці. Загалом в підприємництві офіційно задіяно близько 35 тис. осіб.</w:t>
      </w:r>
    </w:p>
    <w:p w:rsidR="00243772" w:rsidRDefault="00243772" w:rsidP="00243772">
      <w:pPr>
        <w:pStyle w:val="Title"/>
        <w:jc w:val="both"/>
        <w:rPr>
          <w:b w:val="0"/>
        </w:rPr>
      </w:pPr>
    </w:p>
    <w:p w:rsidR="00243772" w:rsidRDefault="00243772" w:rsidP="00243772">
      <w:pPr>
        <w:pStyle w:val="Title"/>
        <w:jc w:val="both"/>
        <w:rPr>
          <w:b w:val="0"/>
        </w:rPr>
      </w:pPr>
    </w:p>
    <w:p w:rsidR="00243772" w:rsidRDefault="00243772" w:rsidP="00243772">
      <w:pPr>
        <w:keepNext/>
        <w:ind w:firstLine="709"/>
        <w:jc w:val="center"/>
        <w:rPr>
          <w:b/>
          <w:sz w:val="28"/>
          <w:lang w:val="uk-UA"/>
        </w:rPr>
      </w:pPr>
      <w:r>
        <w:rPr>
          <w:b/>
          <w:sz w:val="28"/>
          <w:lang w:val="uk-UA"/>
        </w:rPr>
        <w:t>2</w:t>
      </w:r>
      <w:r>
        <w:rPr>
          <w:b/>
          <w:sz w:val="28"/>
        </w:rPr>
        <w:t>. Довідка про виконання Програми підтримки малого підприємництва в м.</w:t>
      </w:r>
      <w:r>
        <w:rPr>
          <w:b/>
          <w:sz w:val="28"/>
          <w:lang w:val="uk-UA"/>
        </w:rPr>
        <w:t> </w:t>
      </w:r>
      <w:r>
        <w:rPr>
          <w:b/>
          <w:sz w:val="28"/>
        </w:rPr>
        <w:t xml:space="preserve">Івано-Франківську на </w:t>
      </w:r>
      <w:r>
        <w:rPr>
          <w:b/>
          <w:sz w:val="28"/>
          <w:lang w:val="uk-UA"/>
        </w:rPr>
        <w:t>2005-2006 роки</w:t>
      </w:r>
    </w:p>
    <w:p w:rsidR="00243772" w:rsidRDefault="00243772" w:rsidP="00243772">
      <w:pPr>
        <w:keepNext/>
        <w:ind w:firstLine="709"/>
        <w:jc w:val="center"/>
        <w:rPr>
          <w:b/>
          <w:sz w:val="28"/>
          <w:lang w:val="uk-UA"/>
        </w:rPr>
      </w:pPr>
      <w:r>
        <w:rPr>
          <w:b/>
          <w:sz w:val="28"/>
          <w:lang w:val="uk-UA"/>
        </w:rPr>
        <w:t>за підсумками 2005 року</w:t>
      </w:r>
    </w:p>
    <w:p w:rsidR="00243772" w:rsidRDefault="00243772" w:rsidP="00243772">
      <w:pPr>
        <w:pStyle w:val="Title"/>
        <w:rPr>
          <w:lang w:val="ru-RU"/>
        </w:rPr>
      </w:pPr>
    </w:p>
    <w:p w:rsidR="00243772" w:rsidRDefault="00243772" w:rsidP="00243772">
      <w:pPr>
        <w:pStyle w:val="Title"/>
      </w:pPr>
      <w:r>
        <w:t>2.1. Регуляторна політика у сфері господарської діяльності</w:t>
      </w:r>
    </w:p>
    <w:p w:rsidR="00243772" w:rsidRDefault="00243772" w:rsidP="00243772">
      <w:pPr>
        <w:rPr>
          <w:lang w:val="uk-UA"/>
        </w:rPr>
      </w:pPr>
    </w:p>
    <w:p w:rsidR="00243772" w:rsidRDefault="00243772" w:rsidP="00243772">
      <w:pPr>
        <w:ind w:firstLine="708"/>
        <w:jc w:val="both"/>
        <w:rPr>
          <w:sz w:val="28"/>
          <w:lang w:val="uk-UA"/>
        </w:rPr>
      </w:pPr>
      <w:r>
        <w:rPr>
          <w:sz w:val="28"/>
          <w:lang w:val="uk-UA"/>
        </w:rPr>
        <w:t>Для забезпечення перегляду регуляторних актів органів місцевого самоврядування м.</w:t>
      </w:r>
      <w:r>
        <w:rPr>
          <w:sz w:val="28"/>
        </w:rPr>
        <w:t> </w:t>
      </w:r>
      <w:r>
        <w:rPr>
          <w:sz w:val="28"/>
          <w:lang w:val="uk-UA"/>
        </w:rPr>
        <w:t>Івано-Франківська з метою приведення у відповідність до вимог закону створено відповідну робочу групу, склад якої затверджено розпорядженням міського голови від 21.06.2005р. №316-р “Про створення робочої групи з перегляду регуляторних актів органів місцевого самоврядування міста Івано-Франківська”. З метою визначення найбільш зарегульованих сфер діяльності 27.04.2005р. відбулося засідання «круглого столу» за участю координатора та експертів проекту БІЗПРО в Івано-Франківській області, працівників міського управління юстиції, представництва Держкомпідприємництва в області, ДПІ в м. Івано-Франківську, суб’єктів підприємницької діяльності. За результатами роботи визначено основні напрями, за якими першочергово здійснювався перегляд регуляторних актів, а саме:</w:t>
      </w:r>
    </w:p>
    <w:p w:rsidR="00243772" w:rsidRDefault="00243772" w:rsidP="00243772">
      <w:pPr>
        <w:numPr>
          <w:ilvl w:val="0"/>
          <w:numId w:val="2"/>
        </w:numPr>
        <w:jc w:val="both"/>
        <w:rPr>
          <w:sz w:val="28"/>
          <w:lang w:val="uk-UA"/>
        </w:rPr>
      </w:pPr>
      <w:r>
        <w:rPr>
          <w:sz w:val="28"/>
          <w:lang w:val="uk-UA"/>
        </w:rPr>
        <w:t>земельні відносини;</w:t>
      </w:r>
    </w:p>
    <w:p w:rsidR="00243772" w:rsidRDefault="00243772" w:rsidP="00243772">
      <w:pPr>
        <w:numPr>
          <w:ilvl w:val="0"/>
          <w:numId w:val="2"/>
        </w:numPr>
        <w:jc w:val="both"/>
        <w:rPr>
          <w:sz w:val="28"/>
          <w:lang w:val="uk-UA"/>
        </w:rPr>
      </w:pPr>
      <w:r>
        <w:rPr>
          <w:sz w:val="28"/>
          <w:lang w:val="uk-UA"/>
        </w:rPr>
        <w:t>оренда та приватизація майна, що належить до комунальної власності;</w:t>
      </w:r>
    </w:p>
    <w:p w:rsidR="00243772" w:rsidRDefault="00243772" w:rsidP="00243772">
      <w:pPr>
        <w:numPr>
          <w:ilvl w:val="0"/>
          <w:numId w:val="2"/>
        </w:numPr>
        <w:jc w:val="both"/>
        <w:rPr>
          <w:sz w:val="28"/>
          <w:lang w:val="uk-UA"/>
        </w:rPr>
      </w:pPr>
      <w:r>
        <w:rPr>
          <w:sz w:val="28"/>
          <w:lang w:val="uk-UA"/>
        </w:rPr>
        <w:t>сфера транспортних перевезень;</w:t>
      </w:r>
    </w:p>
    <w:p w:rsidR="00243772" w:rsidRDefault="00243772" w:rsidP="00243772">
      <w:pPr>
        <w:numPr>
          <w:ilvl w:val="0"/>
          <w:numId w:val="2"/>
        </w:numPr>
        <w:jc w:val="both"/>
        <w:rPr>
          <w:sz w:val="28"/>
          <w:lang w:val="uk-UA"/>
        </w:rPr>
      </w:pPr>
      <w:r>
        <w:rPr>
          <w:sz w:val="28"/>
          <w:lang w:val="uk-UA"/>
        </w:rPr>
        <w:t>місцеві податки і збори, єдиний податок, фіксований податок, торговий патент;</w:t>
      </w:r>
    </w:p>
    <w:p w:rsidR="00243772" w:rsidRDefault="00243772" w:rsidP="00243772">
      <w:pPr>
        <w:numPr>
          <w:ilvl w:val="0"/>
          <w:numId w:val="2"/>
        </w:numPr>
        <w:jc w:val="both"/>
        <w:rPr>
          <w:sz w:val="28"/>
          <w:lang w:val="uk-UA"/>
        </w:rPr>
      </w:pPr>
      <w:r>
        <w:rPr>
          <w:sz w:val="28"/>
          <w:lang w:val="uk-UA"/>
        </w:rPr>
        <w:t>сфера торгівлі.</w:t>
      </w:r>
    </w:p>
    <w:p w:rsidR="00243772" w:rsidRDefault="00243772" w:rsidP="00243772">
      <w:pPr>
        <w:pStyle w:val="BodyTextIndent2"/>
      </w:pPr>
      <w:r>
        <w:t>Сформовано перелік нормативно-правових актів у сфері господарської діяльності з 1991 року видання (всього – 103 регуляторні акти (додаток 1).</w:t>
      </w:r>
    </w:p>
    <w:p w:rsidR="00243772" w:rsidRDefault="00243772" w:rsidP="00243772">
      <w:pPr>
        <w:pStyle w:val="BodyText"/>
        <w:ind w:firstLine="708"/>
        <w:jc w:val="both"/>
      </w:pPr>
      <w:r>
        <w:t>Проведено 6 засідань робочої групи з перегляду регуляторних актів органів місцевого самоврядування міста Івано-Франківська (31.05.2005р., 17.06.2005р., 23.06.2005р., 05.09.2005р., 23.09.2005р., 27.10.2005р.), на яких відбулося обговорення пропозицій щодо визнання такими, що припиняють чинність, регуляторних актів та внесення змін (доповнень) до чинних регуляторних актів.</w:t>
      </w:r>
    </w:p>
    <w:p w:rsidR="00243772" w:rsidRDefault="00243772" w:rsidP="00243772">
      <w:pPr>
        <w:pStyle w:val="BodyText"/>
        <w:ind w:firstLine="708"/>
        <w:jc w:val="both"/>
      </w:pPr>
      <w:r>
        <w:t xml:space="preserve">За результатами обговорення складено переліки регуляторних актів за напрямками: “регуляторні акти, які потребують визнання такими, що припиняють чинність”, “регуляторні акти, які потребують внесення змін/доповнень”, “регуляторні акти, які відповідають встановленим критеріям”. Забезпечено внесення відповідних проектів рішень міської </w:t>
      </w:r>
      <w:r>
        <w:lastRenderedPageBreak/>
        <w:t>ради, її виконавчого комітету, розпоряджень міського голови про припинення чинності регуляторних актів. Прийняті рішення виконавчого комітету від 21.06.05р. №205 “Про припинення чинності рішень виконавчого комітету міської ради”, розпорядження міського голови від 29.06.05р. №331-р “Про припинення чинності розпоряджень міського голови”, рішення міської ради від 29.06.05р. “Про припинення чинності рішень міської ради”. Такими, що втратили чинність визнано 23 регуляторних акти, зокрема:</w:t>
      </w:r>
    </w:p>
    <w:p w:rsidR="00243772" w:rsidRDefault="00243772" w:rsidP="00243772">
      <w:pPr>
        <w:pStyle w:val="BodyText"/>
        <w:numPr>
          <w:ilvl w:val="0"/>
          <w:numId w:val="3"/>
        </w:numPr>
        <w:jc w:val="both"/>
      </w:pPr>
      <w:r>
        <w:t>рішення міської ради (всього – 10):</w:t>
      </w:r>
    </w:p>
    <w:p w:rsidR="00243772" w:rsidRDefault="00243772" w:rsidP="00243772">
      <w:pPr>
        <w:pStyle w:val="BodyText"/>
        <w:numPr>
          <w:ilvl w:val="0"/>
          <w:numId w:val="3"/>
        </w:numPr>
        <w:jc w:val="both"/>
      </w:pPr>
      <w:r>
        <w:t>рішення виконавчого комітету міської ради (всього – 6):</w:t>
      </w:r>
    </w:p>
    <w:p w:rsidR="00243772" w:rsidRDefault="00243772" w:rsidP="00243772">
      <w:pPr>
        <w:pStyle w:val="BodyText"/>
        <w:numPr>
          <w:ilvl w:val="0"/>
          <w:numId w:val="3"/>
        </w:numPr>
        <w:jc w:val="both"/>
      </w:pPr>
      <w:r>
        <w:t>розпорядження міського голови (всього – 7):</w:t>
      </w:r>
    </w:p>
    <w:p w:rsidR="00243772" w:rsidRDefault="00243772" w:rsidP="00243772">
      <w:pPr>
        <w:pStyle w:val="BodyText"/>
        <w:ind w:firstLine="708"/>
        <w:jc w:val="both"/>
      </w:pPr>
      <w:r>
        <w:t>Підготовлено пропозиції щодо внесення змін (доповнень)/викладення в новій редакції діючих рішень міської ради та її виконавчого комітету з метою приведення у відповідність до вимог чинного законодавства та створення сприятливого регуляторного середовища в місті. Зокрема, прийнято рішення про підготовку проекту рішення міської ради про місцеві податки і збори, які справляються на території Івано-Франківської міської ради, як єдиного комплексного документа, що включатиме окремі положення по конкретних податках і зборах; проекту нового Положення про тимчасові заклади торгівлі, яке зокрема, визначатиме порядок надання дозволу на розміщення тимчасових закладів торгівлі на конкурсній основі; проекту рішення виконавчого комітету міської ради про порядок переобладнання житлових та нежитлових приміщень для здійснення підприємницької діяльності непромислового характеру тощо.</w:t>
      </w:r>
    </w:p>
    <w:p w:rsidR="00243772" w:rsidRDefault="00243772" w:rsidP="00243772">
      <w:pPr>
        <w:pStyle w:val="BodyText"/>
        <w:ind w:firstLine="708"/>
        <w:jc w:val="both"/>
      </w:pPr>
      <w:r>
        <w:t>Рішенням виконавчого комітету міської ради від 16.08.05р. №273 затверджений план діяльності виконавчого комітету з підготовки проектів регуляторних актів на 2005 рік, до якого рішенням виконавчого комітету від 22.09.2005р. №308 внесено доповнення.</w:t>
      </w:r>
    </w:p>
    <w:p w:rsidR="00243772" w:rsidRDefault="00243772" w:rsidP="00243772">
      <w:pPr>
        <w:ind w:firstLine="720"/>
        <w:jc w:val="both"/>
        <w:rPr>
          <w:sz w:val="28"/>
          <w:lang w:val="uk-UA"/>
        </w:rPr>
      </w:pPr>
      <w:r>
        <w:rPr>
          <w:sz w:val="28"/>
        </w:rPr>
        <w:t>Прийнято наступні регуляторні акти</w:t>
      </w:r>
      <w:r>
        <w:rPr>
          <w:sz w:val="28"/>
          <w:lang w:val="uk-UA"/>
        </w:rPr>
        <w:t xml:space="preserve"> (всього – 14)</w:t>
      </w:r>
      <w:r>
        <w:rPr>
          <w:sz w:val="28"/>
        </w:rPr>
        <w:t xml:space="preserve">: </w:t>
      </w:r>
    </w:p>
    <w:p w:rsidR="00243772" w:rsidRDefault="00243772" w:rsidP="00243772">
      <w:pPr>
        <w:numPr>
          <w:ilvl w:val="0"/>
          <w:numId w:val="4"/>
        </w:numPr>
        <w:tabs>
          <w:tab w:val="num" w:pos="1080"/>
        </w:tabs>
        <w:ind w:left="1080"/>
        <w:jc w:val="both"/>
        <w:rPr>
          <w:sz w:val="28"/>
          <w:lang w:val="uk-UA"/>
        </w:rPr>
      </w:pPr>
      <w:r>
        <w:rPr>
          <w:sz w:val="28"/>
          <w:lang w:val="uk-UA"/>
        </w:rPr>
        <w:t>рішення міської ради від 29.06.2005р. «Про внесення змін до «Методики розрахунку і порядку виконання плати за оренду об’єктів комунальної власності територіальної громади м. Івано-Франківська»;</w:t>
      </w:r>
    </w:p>
    <w:p w:rsidR="00243772" w:rsidRDefault="00243772" w:rsidP="00243772">
      <w:pPr>
        <w:numPr>
          <w:ilvl w:val="0"/>
          <w:numId w:val="4"/>
        </w:numPr>
        <w:tabs>
          <w:tab w:val="num" w:pos="1080"/>
        </w:tabs>
        <w:ind w:left="1080"/>
        <w:jc w:val="both"/>
        <w:rPr>
          <w:sz w:val="28"/>
          <w:lang w:val="uk-UA"/>
        </w:rPr>
      </w:pPr>
      <w:r>
        <w:rPr>
          <w:sz w:val="28"/>
          <w:lang w:val="uk-UA"/>
        </w:rPr>
        <w:t>рішення міської ради від 07.06.2005р. «Про затвердження нової редакції «Положення про оренду об’єктів комунальної власності територіальної громади м. Івано-Франківська»;</w:t>
      </w:r>
    </w:p>
    <w:p w:rsidR="00243772" w:rsidRDefault="00243772" w:rsidP="00243772">
      <w:pPr>
        <w:numPr>
          <w:ilvl w:val="0"/>
          <w:numId w:val="4"/>
        </w:numPr>
        <w:tabs>
          <w:tab w:val="num" w:pos="1080"/>
        </w:tabs>
        <w:ind w:left="1080"/>
        <w:jc w:val="both"/>
        <w:rPr>
          <w:sz w:val="28"/>
        </w:rPr>
      </w:pPr>
      <w:r>
        <w:rPr>
          <w:sz w:val="28"/>
          <w:lang w:val="uk-UA"/>
        </w:rPr>
        <w:t>р</w:t>
      </w:r>
      <w:r>
        <w:rPr>
          <w:sz w:val="28"/>
        </w:rPr>
        <w:t>ішення міської ради від 07.06.2005р. «Про схвалення «Положення про порядок продажу земельних ділянок у власність в м. Івано-Франківську»;</w:t>
      </w:r>
    </w:p>
    <w:p w:rsidR="00243772" w:rsidRDefault="00243772" w:rsidP="00243772">
      <w:pPr>
        <w:numPr>
          <w:ilvl w:val="0"/>
          <w:numId w:val="4"/>
        </w:numPr>
        <w:tabs>
          <w:tab w:val="num" w:pos="1080"/>
        </w:tabs>
        <w:ind w:left="1080"/>
        <w:jc w:val="both"/>
        <w:rPr>
          <w:sz w:val="28"/>
        </w:rPr>
      </w:pPr>
      <w:r>
        <w:rPr>
          <w:sz w:val="28"/>
          <w:lang w:val="uk-UA"/>
        </w:rPr>
        <w:t>р</w:t>
      </w:r>
      <w:r>
        <w:rPr>
          <w:sz w:val="28"/>
        </w:rPr>
        <w:t>ішення міської ради від 07.06.2005р. «Про відшкодування втрат від недоотримання коштів за використання земель в м. Івано-Франківську»;</w:t>
      </w:r>
    </w:p>
    <w:p w:rsidR="00243772" w:rsidRDefault="00243772" w:rsidP="00243772">
      <w:pPr>
        <w:numPr>
          <w:ilvl w:val="0"/>
          <w:numId w:val="4"/>
        </w:numPr>
        <w:tabs>
          <w:tab w:val="num" w:pos="1080"/>
        </w:tabs>
        <w:ind w:left="1080"/>
        <w:jc w:val="both"/>
        <w:rPr>
          <w:sz w:val="28"/>
        </w:rPr>
      </w:pPr>
      <w:r>
        <w:rPr>
          <w:sz w:val="28"/>
          <w:lang w:val="uk-UA"/>
        </w:rPr>
        <w:lastRenderedPageBreak/>
        <w:t>р</w:t>
      </w:r>
      <w:r>
        <w:rPr>
          <w:sz w:val="28"/>
        </w:rPr>
        <w:t>ішення міської ради від 07.06.2005р. «Про затвердження Порядку розгляду питань щодо набуття та реалізації права користування землею в м. Івано-Франківську”;</w:t>
      </w:r>
    </w:p>
    <w:p w:rsidR="00243772" w:rsidRDefault="00243772" w:rsidP="00243772">
      <w:pPr>
        <w:numPr>
          <w:ilvl w:val="0"/>
          <w:numId w:val="4"/>
        </w:numPr>
        <w:tabs>
          <w:tab w:val="num" w:pos="1080"/>
        </w:tabs>
        <w:ind w:left="1080"/>
        <w:jc w:val="both"/>
        <w:rPr>
          <w:sz w:val="28"/>
          <w:lang w:val="uk-UA"/>
        </w:rPr>
      </w:pPr>
      <w:r>
        <w:rPr>
          <w:sz w:val="28"/>
          <w:lang w:val="uk-UA"/>
        </w:rPr>
        <w:t xml:space="preserve">рішення виконавчого комітету міської ради від 16.08.2005р. №266 "Про тарифи на проїзд пасажирів в міському пасажирському транспорті ДКП "Електроавтотранс", </w:t>
      </w:r>
    </w:p>
    <w:p w:rsidR="00243772" w:rsidRDefault="00243772" w:rsidP="00243772">
      <w:pPr>
        <w:numPr>
          <w:ilvl w:val="0"/>
          <w:numId w:val="4"/>
        </w:numPr>
        <w:tabs>
          <w:tab w:val="num" w:pos="1080"/>
        </w:tabs>
        <w:ind w:left="1080"/>
        <w:jc w:val="both"/>
        <w:rPr>
          <w:sz w:val="28"/>
          <w:lang w:val="uk-UA"/>
        </w:rPr>
      </w:pPr>
      <w:r>
        <w:rPr>
          <w:sz w:val="28"/>
          <w:lang w:val="uk-UA"/>
        </w:rPr>
        <w:t xml:space="preserve">рішення виконавчого комітету міської ради від 16.08.2005р. №265 "Про тарифи на проїзд пасажирів в міському громадському пасажирському автотранспорті ДКП "Електроавтотранс", </w:t>
      </w:r>
    </w:p>
    <w:p w:rsidR="00243772" w:rsidRDefault="00243772" w:rsidP="00243772">
      <w:pPr>
        <w:numPr>
          <w:ilvl w:val="0"/>
          <w:numId w:val="4"/>
        </w:numPr>
        <w:tabs>
          <w:tab w:val="num" w:pos="1080"/>
        </w:tabs>
        <w:ind w:left="1080"/>
        <w:jc w:val="both"/>
        <w:rPr>
          <w:sz w:val="28"/>
          <w:lang w:val="uk-UA"/>
        </w:rPr>
      </w:pPr>
      <w:r>
        <w:rPr>
          <w:sz w:val="28"/>
          <w:lang w:val="uk-UA"/>
        </w:rPr>
        <w:t xml:space="preserve">рішення виконавчого комітету міської ради від 16.08.2005р. №267 "Про тарифи на проїзд пасажирів в міському електротранспорті», </w:t>
      </w:r>
    </w:p>
    <w:p w:rsidR="00243772" w:rsidRDefault="00243772" w:rsidP="00243772">
      <w:pPr>
        <w:numPr>
          <w:ilvl w:val="0"/>
          <w:numId w:val="4"/>
        </w:numPr>
        <w:tabs>
          <w:tab w:val="num" w:pos="1080"/>
        </w:tabs>
        <w:ind w:left="1080"/>
        <w:jc w:val="both"/>
        <w:rPr>
          <w:sz w:val="28"/>
          <w:lang w:val="uk-UA"/>
        </w:rPr>
      </w:pPr>
      <w:r>
        <w:rPr>
          <w:sz w:val="28"/>
          <w:lang w:val="uk-UA"/>
        </w:rPr>
        <w:t>рішення виконавчого комітету міської ради від 16.08.2005р. №285 "Про затвердження Регламенту роботи Дозвільного центру",</w:t>
      </w:r>
    </w:p>
    <w:p w:rsidR="00243772" w:rsidRDefault="00243772" w:rsidP="00243772">
      <w:pPr>
        <w:numPr>
          <w:ilvl w:val="0"/>
          <w:numId w:val="4"/>
        </w:numPr>
        <w:tabs>
          <w:tab w:val="num" w:pos="1080"/>
        </w:tabs>
        <w:ind w:left="1080"/>
        <w:jc w:val="both"/>
        <w:rPr>
          <w:sz w:val="28"/>
          <w:lang w:val="uk-UA"/>
        </w:rPr>
      </w:pPr>
      <w:r>
        <w:rPr>
          <w:sz w:val="28"/>
          <w:lang w:val="uk-UA"/>
        </w:rPr>
        <w:t>рішення виконавчого комітету міської ради від 22.09.2005р. №317 “Про затвердження технічних регламентів надання документів Дозвільного характеру в Дозвільному центрі м. Івано-Франківська”;</w:t>
      </w:r>
    </w:p>
    <w:p w:rsidR="00243772" w:rsidRDefault="00243772" w:rsidP="00243772">
      <w:pPr>
        <w:numPr>
          <w:ilvl w:val="0"/>
          <w:numId w:val="4"/>
        </w:numPr>
        <w:tabs>
          <w:tab w:val="num" w:pos="1080"/>
        </w:tabs>
        <w:ind w:left="1080"/>
        <w:jc w:val="both"/>
        <w:rPr>
          <w:sz w:val="28"/>
          <w:lang w:val="uk-UA"/>
        </w:rPr>
      </w:pPr>
      <w:r>
        <w:rPr>
          <w:sz w:val="28"/>
        </w:rPr>
        <w:t xml:space="preserve">рішення виконавчого комітету міської ради від </w:t>
      </w:r>
      <w:r>
        <w:rPr>
          <w:sz w:val="28"/>
          <w:lang w:val="uk-UA"/>
        </w:rPr>
        <w:t>25</w:t>
      </w:r>
      <w:r>
        <w:rPr>
          <w:sz w:val="28"/>
        </w:rPr>
        <w:t>.</w:t>
      </w:r>
      <w:r>
        <w:rPr>
          <w:sz w:val="28"/>
          <w:lang w:val="uk-UA"/>
        </w:rPr>
        <w:t>10</w:t>
      </w:r>
      <w:r>
        <w:rPr>
          <w:sz w:val="28"/>
        </w:rPr>
        <w:t>.</w:t>
      </w:r>
      <w:r>
        <w:rPr>
          <w:sz w:val="28"/>
          <w:lang w:val="uk-UA"/>
        </w:rPr>
        <w:t>20</w:t>
      </w:r>
      <w:r>
        <w:rPr>
          <w:sz w:val="28"/>
        </w:rPr>
        <w:t>05р. №</w:t>
      </w:r>
      <w:r>
        <w:rPr>
          <w:sz w:val="28"/>
          <w:lang w:val="uk-UA"/>
        </w:rPr>
        <w:t>344</w:t>
      </w:r>
      <w:r>
        <w:rPr>
          <w:sz w:val="28"/>
        </w:rPr>
        <w:t xml:space="preserve"> "Про </w:t>
      </w:r>
      <w:r>
        <w:rPr>
          <w:sz w:val="28"/>
          <w:lang w:val="uk-UA"/>
        </w:rPr>
        <w:t>внесення змін і доповнень до</w:t>
      </w:r>
      <w:r>
        <w:rPr>
          <w:sz w:val="28"/>
        </w:rPr>
        <w:t xml:space="preserve"> Регламенту роботи Дозвільного центру"</w:t>
      </w:r>
      <w:r>
        <w:rPr>
          <w:sz w:val="28"/>
          <w:lang w:val="uk-UA"/>
        </w:rPr>
        <w:t>;</w:t>
      </w:r>
    </w:p>
    <w:p w:rsidR="00243772" w:rsidRDefault="00243772" w:rsidP="00243772">
      <w:pPr>
        <w:numPr>
          <w:ilvl w:val="0"/>
          <w:numId w:val="4"/>
        </w:numPr>
        <w:tabs>
          <w:tab w:val="num" w:pos="1080"/>
        </w:tabs>
        <w:ind w:left="1080"/>
        <w:jc w:val="both"/>
        <w:rPr>
          <w:sz w:val="28"/>
          <w:lang w:val="uk-UA"/>
        </w:rPr>
      </w:pPr>
      <w:r>
        <w:rPr>
          <w:sz w:val="28"/>
          <w:lang w:val="uk-UA"/>
        </w:rPr>
        <w:t>рішення виконавчого комітету міської ради від 25.10.2005р. №345 “Про внесення змін і доповнень до технічних регламентів надання документів Дозвільного характеру в Дозвільному центрі м.</w:t>
      </w:r>
      <w:r>
        <w:rPr>
          <w:sz w:val="28"/>
        </w:rPr>
        <w:t> </w:t>
      </w:r>
      <w:r>
        <w:rPr>
          <w:sz w:val="28"/>
          <w:lang w:val="uk-UA"/>
        </w:rPr>
        <w:t>Івано-Франківська”;</w:t>
      </w:r>
    </w:p>
    <w:p w:rsidR="00243772" w:rsidRDefault="00243772" w:rsidP="00243772">
      <w:pPr>
        <w:numPr>
          <w:ilvl w:val="0"/>
          <w:numId w:val="4"/>
        </w:numPr>
        <w:tabs>
          <w:tab w:val="num" w:pos="1080"/>
        </w:tabs>
        <w:ind w:left="1080"/>
        <w:jc w:val="both"/>
        <w:rPr>
          <w:sz w:val="28"/>
          <w:lang w:val="uk-UA"/>
        </w:rPr>
      </w:pPr>
      <w:r>
        <w:rPr>
          <w:sz w:val="28"/>
          <w:lang w:val="uk-UA"/>
        </w:rPr>
        <w:t>рішення виконавчого комітету міської ради від 24.11.2005р. №420 «Про внесення змін у рішення виконавчого комітету»;</w:t>
      </w:r>
    </w:p>
    <w:p w:rsidR="00243772" w:rsidRDefault="00243772" w:rsidP="00243772">
      <w:pPr>
        <w:numPr>
          <w:ilvl w:val="0"/>
          <w:numId w:val="4"/>
        </w:numPr>
        <w:tabs>
          <w:tab w:val="num" w:pos="1080"/>
        </w:tabs>
        <w:ind w:left="1080"/>
        <w:jc w:val="both"/>
        <w:rPr>
          <w:sz w:val="28"/>
          <w:lang w:val="uk-UA"/>
        </w:rPr>
      </w:pPr>
      <w:r>
        <w:rPr>
          <w:sz w:val="28"/>
          <w:lang w:val="uk-UA"/>
        </w:rPr>
        <w:t>розпорядження міського голови від 09.12.2005р. №703-р “</w:t>
      </w:r>
      <w:r>
        <w:rPr>
          <w:sz w:val="28"/>
        </w:rPr>
        <w:t>Про внесення змін і доповнень до</w:t>
      </w:r>
      <w:r>
        <w:rPr>
          <w:sz w:val="28"/>
          <w:lang w:val="uk-UA"/>
        </w:rPr>
        <w:t xml:space="preserve"> </w:t>
      </w:r>
      <w:r>
        <w:rPr>
          <w:sz w:val="28"/>
        </w:rPr>
        <w:t>Регламенту роботи Дозвільного центру</w:t>
      </w:r>
      <w:r>
        <w:rPr>
          <w:sz w:val="28"/>
          <w:lang w:val="uk-UA"/>
        </w:rPr>
        <w:t xml:space="preserve"> та технічних регламентів </w:t>
      </w:r>
      <w:r>
        <w:rPr>
          <w:sz w:val="28"/>
        </w:rPr>
        <w:t>надання</w:t>
      </w:r>
      <w:r>
        <w:rPr>
          <w:sz w:val="28"/>
          <w:lang w:val="uk-UA"/>
        </w:rPr>
        <w:t xml:space="preserve"> </w:t>
      </w:r>
      <w:r>
        <w:rPr>
          <w:sz w:val="28"/>
        </w:rPr>
        <w:t>документів дозвільного характеру</w:t>
      </w:r>
      <w:r>
        <w:rPr>
          <w:sz w:val="28"/>
          <w:lang w:val="uk-UA"/>
        </w:rPr>
        <w:t>”.</w:t>
      </w:r>
    </w:p>
    <w:p w:rsidR="00243772" w:rsidRDefault="00243772" w:rsidP="00243772">
      <w:pPr>
        <w:ind w:firstLine="720"/>
        <w:jc w:val="both"/>
        <w:rPr>
          <w:sz w:val="28"/>
          <w:lang w:val="uk-UA"/>
        </w:rPr>
      </w:pPr>
      <w:r>
        <w:rPr>
          <w:sz w:val="28"/>
          <w:lang w:val="uk-UA"/>
        </w:rPr>
        <w:t>Проекти регуляторних актів, аналіз регуляторного впливу для попереднього ознайомлення розміщуються на офіційній сторінці виконавчого комітету в мережі Інтернет або в газеті міської ради “Західний кур’єр”.</w:t>
      </w:r>
    </w:p>
    <w:p w:rsidR="00243772" w:rsidRDefault="00243772" w:rsidP="00243772">
      <w:pPr>
        <w:pStyle w:val="BodyText"/>
        <w:jc w:val="both"/>
      </w:pPr>
      <w:r>
        <w:tab/>
        <w:t>З метою планування діяльності виконавчого комітету з розробки проектів регуляторних актів на наступний рік прийнято рішення виконкому від 22.12.2005р. №499 «Про план діяльності виконавчого комітету з підготовки проектів регуляторних актів на 2006 рік».</w:t>
      </w:r>
    </w:p>
    <w:p w:rsidR="00243772" w:rsidRDefault="00243772" w:rsidP="00243772">
      <w:pPr>
        <w:ind w:firstLine="720"/>
        <w:jc w:val="both"/>
        <w:rPr>
          <w:sz w:val="28"/>
          <w:lang w:val="uk-UA"/>
        </w:rPr>
      </w:pPr>
      <w:r>
        <w:rPr>
          <w:sz w:val="28"/>
          <w:lang w:val="uk-UA"/>
        </w:rPr>
        <w:t xml:space="preserve">Відповідно до розпорядження міського голови від 07.10.2005р. №616-р “Про внесення змін до розпорядження міського голови від 21.06.2005р. №116-р” робочу групу з перегляду регуляторних актів органів місцевого самоврядування міста Івано-Франківська уповноважено здійснити аналіз нормативно-правових актів, прийнятих на державному та </w:t>
      </w:r>
      <w:r>
        <w:rPr>
          <w:sz w:val="28"/>
          <w:lang w:val="uk-UA"/>
        </w:rPr>
        <w:lastRenderedPageBreak/>
        <w:t>місцевому рівнях, якими регулюється функціонування дозвільної системи. За результатами проведеного аналізу підготовлено та направлено пропозиції у Представництво Держкомпідприємництва.</w:t>
      </w:r>
    </w:p>
    <w:p w:rsidR="00243772" w:rsidRDefault="00243772" w:rsidP="00243772">
      <w:pPr>
        <w:ind w:firstLine="708"/>
        <w:jc w:val="both"/>
        <w:rPr>
          <w:sz w:val="28"/>
          <w:lang w:val="uk-UA"/>
        </w:rPr>
      </w:pPr>
      <w:r>
        <w:rPr>
          <w:sz w:val="28"/>
          <w:lang w:val="uk-UA"/>
        </w:rPr>
        <w:t>Організовано проведення 1 засідання Ради підприємців при міському голові, 2 засідання “круглого столу” та 3 громадські слухання з обговорення проектів регуляторних актів:</w:t>
      </w:r>
    </w:p>
    <w:p w:rsidR="00243772" w:rsidRDefault="00243772" w:rsidP="00243772">
      <w:pPr>
        <w:numPr>
          <w:ilvl w:val="0"/>
          <w:numId w:val="1"/>
        </w:numPr>
        <w:jc w:val="both"/>
        <w:rPr>
          <w:sz w:val="28"/>
          <w:lang w:val="uk-UA"/>
        </w:rPr>
      </w:pPr>
      <w:r>
        <w:rPr>
          <w:sz w:val="28"/>
          <w:lang w:val="uk-UA"/>
        </w:rPr>
        <w:t>22.02.2004р. – засідання Ради підприємців при міському голові (обговорення проблем розвитку малого і середнього бізнесу в місті);</w:t>
      </w:r>
    </w:p>
    <w:p w:rsidR="00243772" w:rsidRDefault="00243772" w:rsidP="00243772">
      <w:pPr>
        <w:numPr>
          <w:ilvl w:val="0"/>
          <w:numId w:val="1"/>
        </w:numPr>
        <w:jc w:val="both"/>
        <w:rPr>
          <w:sz w:val="28"/>
          <w:lang w:val="uk-UA"/>
        </w:rPr>
      </w:pPr>
      <w:r>
        <w:rPr>
          <w:sz w:val="28"/>
          <w:lang w:val="uk-UA"/>
        </w:rPr>
        <w:t>09.04.2005р. - засідання «круглого столу» з обговорення проблем підприємницької діяльності;</w:t>
      </w:r>
    </w:p>
    <w:p w:rsidR="00243772" w:rsidRDefault="00243772" w:rsidP="00243772">
      <w:pPr>
        <w:numPr>
          <w:ilvl w:val="0"/>
          <w:numId w:val="1"/>
        </w:numPr>
        <w:jc w:val="both"/>
        <w:rPr>
          <w:sz w:val="28"/>
          <w:lang w:val="uk-UA"/>
        </w:rPr>
      </w:pPr>
      <w:r>
        <w:rPr>
          <w:sz w:val="28"/>
          <w:lang w:val="uk-UA"/>
        </w:rPr>
        <w:t>27.04.2005р. – “круглий стіл” з впровадження проекту «Гільйотина» щодо перегляду регуляторних актів;</w:t>
      </w:r>
    </w:p>
    <w:p w:rsidR="00243772" w:rsidRDefault="00243772" w:rsidP="00243772">
      <w:pPr>
        <w:numPr>
          <w:ilvl w:val="0"/>
          <w:numId w:val="1"/>
        </w:numPr>
        <w:jc w:val="both"/>
        <w:rPr>
          <w:sz w:val="28"/>
          <w:lang w:val="uk-UA"/>
        </w:rPr>
      </w:pPr>
      <w:r>
        <w:rPr>
          <w:sz w:val="28"/>
          <w:lang w:val="uk-UA"/>
        </w:rPr>
        <w:t>24.06.2005р. – громадські слухання з обговорення проекту рішення міської ради “Про внесення змін до “Методики розрахунку і порядку використання плати за оренду об’єктів комунальної власності територіальної громади міста Івано-Франківська”;</w:t>
      </w:r>
    </w:p>
    <w:p w:rsidR="00243772" w:rsidRDefault="00243772" w:rsidP="00243772">
      <w:pPr>
        <w:numPr>
          <w:ilvl w:val="0"/>
          <w:numId w:val="1"/>
        </w:numPr>
        <w:jc w:val="both"/>
        <w:rPr>
          <w:sz w:val="28"/>
          <w:lang w:val="uk-UA"/>
        </w:rPr>
      </w:pPr>
      <w:r>
        <w:rPr>
          <w:sz w:val="28"/>
          <w:lang w:val="uk-UA"/>
        </w:rPr>
        <w:t>18.07.2005р. – громадські слухання з обговорення проекту рішення виконавчого комітету "Про Регламент роботи Дозвільного центру";</w:t>
      </w:r>
    </w:p>
    <w:p w:rsidR="00243772" w:rsidRDefault="00243772" w:rsidP="00243772">
      <w:pPr>
        <w:numPr>
          <w:ilvl w:val="0"/>
          <w:numId w:val="1"/>
        </w:numPr>
        <w:jc w:val="both"/>
        <w:rPr>
          <w:sz w:val="28"/>
          <w:lang w:val="uk-UA"/>
        </w:rPr>
      </w:pPr>
      <w:r>
        <w:rPr>
          <w:sz w:val="28"/>
          <w:lang w:val="uk-UA"/>
        </w:rPr>
        <w:t>01.08.2005р. - громадські слухання з обговорення проектів рішень виконавчого комітету стосовно підвищення тарифів на проїзд в міському громадському транспорті.</w:t>
      </w:r>
    </w:p>
    <w:p w:rsidR="00243772" w:rsidRDefault="00243772" w:rsidP="00243772">
      <w:pPr>
        <w:rPr>
          <w:sz w:val="28"/>
          <w:lang w:val="uk-UA"/>
        </w:rPr>
      </w:pPr>
    </w:p>
    <w:p w:rsidR="00243772" w:rsidRDefault="00243772" w:rsidP="00243772">
      <w:pPr>
        <w:pStyle w:val="Heading1"/>
        <w:jc w:val="center"/>
        <w:rPr>
          <w:b/>
        </w:rPr>
      </w:pPr>
      <w:r>
        <w:rPr>
          <w:b/>
        </w:rPr>
        <w:t>2.2. Фінансово-кредитна та інвестиційна підтримка</w:t>
      </w:r>
    </w:p>
    <w:p w:rsidR="00243772" w:rsidRDefault="00243772" w:rsidP="00243772">
      <w:pPr>
        <w:pStyle w:val="Heading1"/>
        <w:jc w:val="both"/>
      </w:pPr>
    </w:p>
    <w:p w:rsidR="00243772" w:rsidRDefault="00243772" w:rsidP="00243772">
      <w:pPr>
        <w:ind w:firstLine="709"/>
        <w:jc w:val="both"/>
        <w:rPr>
          <w:sz w:val="28"/>
          <w:lang w:val="uk-UA"/>
        </w:rPr>
      </w:pPr>
      <w:r>
        <w:rPr>
          <w:sz w:val="28"/>
          <w:lang w:val="uk-UA"/>
        </w:rPr>
        <w:t>З метою інформування суб’єктів підприємництва про фінансово-кредитні установи міста, де можна отримати кредитні ресурси, сформовано перелік банківських установ міста, який систематично оновлюється та розміщений на офіційній сторінці виконавчого комітету в мережі Інтернет.</w:t>
      </w:r>
    </w:p>
    <w:p w:rsidR="00243772" w:rsidRDefault="00243772" w:rsidP="00243772">
      <w:pPr>
        <w:ind w:firstLine="709"/>
        <w:jc w:val="both"/>
        <w:rPr>
          <w:sz w:val="28"/>
          <w:lang w:val="uk-UA"/>
        </w:rPr>
      </w:pPr>
      <w:r>
        <w:rPr>
          <w:sz w:val="28"/>
        </w:rPr>
        <w:t xml:space="preserve">Позичковою програмою СП "МБЕРІФ-Бізнес-Центр" прокредитовано </w:t>
      </w:r>
      <w:r>
        <w:rPr>
          <w:sz w:val="28"/>
          <w:lang w:val="uk-UA"/>
        </w:rPr>
        <w:t>8 </w:t>
      </w:r>
      <w:r>
        <w:rPr>
          <w:sz w:val="28"/>
        </w:rPr>
        <w:t xml:space="preserve">суб’єктів малого бізнесу на </w:t>
      </w:r>
      <w:r>
        <w:rPr>
          <w:sz w:val="28"/>
          <w:lang w:val="uk-UA"/>
        </w:rPr>
        <w:t>суму 275</w:t>
      </w:r>
      <w:r>
        <w:rPr>
          <w:sz w:val="28"/>
        </w:rPr>
        <w:t xml:space="preserve"> тис.</w:t>
      </w:r>
      <w:r>
        <w:rPr>
          <w:sz w:val="28"/>
          <w:lang w:val="uk-UA"/>
        </w:rPr>
        <w:t xml:space="preserve"> </w:t>
      </w:r>
      <w:r>
        <w:rPr>
          <w:sz w:val="28"/>
        </w:rPr>
        <w:t>грн.</w:t>
      </w:r>
    </w:p>
    <w:p w:rsidR="00243772" w:rsidRDefault="00243772" w:rsidP="00243772">
      <w:pPr>
        <w:ind w:firstLine="709"/>
        <w:jc w:val="both"/>
        <w:rPr>
          <w:sz w:val="28"/>
          <w:lang w:val="uk-UA"/>
        </w:rPr>
      </w:pPr>
      <w:r>
        <w:rPr>
          <w:sz w:val="28"/>
          <w:lang w:val="uk-UA"/>
        </w:rPr>
        <w:t>Суб’єкти підприємницької діяльності залучаються до участі у тендерних процедурах, які здійснюються за кошти міського бюджету. Протягом 2005 року через єдиний тендерний комітет виконавчого комітету міської ради проведено 120 тендерні закупівлі, в результаті яких укладено 161 договори із 161 постачальниками (суб’єктами підприємницької діяльності) на суму 23496,2</w:t>
      </w:r>
      <w:r>
        <w:rPr>
          <w:sz w:val="28"/>
        </w:rPr>
        <w:t> </w:t>
      </w:r>
      <w:r>
        <w:rPr>
          <w:sz w:val="28"/>
          <w:lang w:val="uk-UA"/>
        </w:rPr>
        <w:t>тис.грн., в тому числі:закупівля товарів - на суму 10878,3 тис.грн.; закупівля робіт на - суму 11353,9 тис.грн.; закупівля послуг - на суму 1264 тис.грн. Загальна сума коштів міського бюджету, яку заявили у звітному періоді для закупівлі товарів, робіт і послуг, склала 29224,8 тис. грн., з яких 416 тис. грн. – кошти державних цільових фондів. Кількість учасників, які подали тендерні пропозиції для участі у торгах (тендерах), становила 416.</w:t>
      </w:r>
    </w:p>
    <w:p w:rsidR="00243772" w:rsidRDefault="00243772" w:rsidP="00243772">
      <w:pPr>
        <w:pStyle w:val="BodyTextIndent3"/>
      </w:pPr>
      <w:r>
        <w:t xml:space="preserve">Через міський центр зайнятості для організації підприємницької діяльності з Фонду загальнообов'язкового державного соціального </w:t>
      </w:r>
      <w:r>
        <w:lastRenderedPageBreak/>
        <w:t>страхування України на випадок безробіття 352 особи (на 7% більше, ніж у 2004р.) отримали одноразову виплату допомоги по безробіттю в сумі 1291,8 тис. грн., що на 541,6 тис. грн., або в 1,5 рази, більше ніж за відповідний період минулого року.</w:t>
      </w:r>
    </w:p>
    <w:p w:rsidR="00243772" w:rsidRDefault="00243772" w:rsidP="00243772">
      <w:pPr>
        <w:ind w:firstLine="708"/>
        <w:jc w:val="both"/>
        <w:rPr>
          <w:sz w:val="28"/>
          <w:lang w:val="uk-UA"/>
        </w:rPr>
      </w:pPr>
      <w:r>
        <w:rPr>
          <w:sz w:val="28"/>
          <w:lang w:val="uk-UA"/>
        </w:rPr>
        <w:t>Роботодавцям</w:t>
      </w:r>
      <w:r>
        <w:rPr>
          <w:sz w:val="28"/>
        </w:rPr>
        <w:t> </w:t>
      </w:r>
      <w:r>
        <w:rPr>
          <w:sz w:val="28"/>
          <w:lang w:val="uk-UA"/>
        </w:rPr>
        <w:t>-</w:t>
      </w:r>
      <w:r>
        <w:rPr>
          <w:sz w:val="28"/>
        </w:rPr>
        <w:t> </w:t>
      </w:r>
      <w:r>
        <w:rPr>
          <w:sz w:val="28"/>
          <w:lang w:val="uk-UA"/>
        </w:rPr>
        <w:t>суб’єктам підприємницької діяльності надано дотацію в сумі 1509,9 тис. грн. (на 627,3 тис. грн., або 170%, більше ніж за 2004р.), за рахунок чого працевлаштовано 302 безробітних.</w:t>
      </w:r>
    </w:p>
    <w:p w:rsidR="00243772" w:rsidRDefault="00243772" w:rsidP="00243772">
      <w:pPr>
        <w:jc w:val="both"/>
        <w:rPr>
          <w:sz w:val="28"/>
          <w:lang w:val="uk-UA"/>
        </w:rPr>
      </w:pPr>
      <w:r>
        <w:rPr>
          <w:sz w:val="28"/>
          <w:lang w:val="uk-UA"/>
        </w:rPr>
        <w:tab/>
        <w:t>З метою створення сприятливих умов для залучення інвестицій в економіку міста та активізації підприємницької діяльності на території Івано-Франківської міської ради створюється зона інвестиційного розвитку на базі Хриплинського промислового вузла. У вересні 2005 року розпочато роботу з оформлення необхідної документації на три земельні ділянки для їх подальшого продажу на земельних торгах. У грудні 2005 року прийнято рішення щодо оформлення документації ще по двох земельних ділянках.</w:t>
      </w:r>
    </w:p>
    <w:p w:rsidR="00243772" w:rsidRDefault="00243772" w:rsidP="00243772">
      <w:pPr>
        <w:rPr>
          <w:sz w:val="28"/>
          <w:lang w:val="uk-UA"/>
        </w:rPr>
      </w:pPr>
    </w:p>
    <w:p w:rsidR="00243772" w:rsidRDefault="00243772" w:rsidP="00243772">
      <w:pPr>
        <w:pStyle w:val="Heading1"/>
        <w:jc w:val="center"/>
        <w:rPr>
          <w:b/>
        </w:rPr>
      </w:pPr>
      <w:r>
        <w:rPr>
          <w:b/>
        </w:rPr>
        <w:t>2.3. Створення інфраструктури підтримки підприємництва</w:t>
      </w:r>
    </w:p>
    <w:p w:rsidR="00243772" w:rsidRDefault="00243772" w:rsidP="00243772">
      <w:pPr>
        <w:rPr>
          <w:sz w:val="28"/>
          <w:lang w:val="uk-UA"/>
        </w:rPr>
      </w:pPr>
    </w:p>
    <w:p w:rsidR="00243772" w:rsidRDefault="00243772" w:rsidP="00243772">
      <w:pPr>
        <w:ind w:firstLine="708"/>
        <w:jc w:val="both"/>
        <w:rPr>
          <w:sz w:val="28"/>
          <w:lang w:val="uk-UA"/>
        </w:rPr>
      </w:pPr>
      <w:r>
        <w:rPr>
          <w:sz w:val="28"/>
          <w:lang w:val="uk-UA"/>
        </w:rPr>
        <w:t>Одним з етапів підтримки підприємництва та залучення до здійснення підприємницької діяльності широкого кола осіб стала реалізація проекту створення в м.</w:t>
      </w:r>
      <w:r>
        <w:rPr>
          <w:sz w:val="28"/>
        </w:rPr>
        <w:t> </w:t>
      </w:r>
      <w:r>
        <w:rPr>
          <w:sz w:val="28"/>
          <w:lang w:val="uk-UA"/>
        </w:rPr>
        <w:t>Івано-Франківську Дозвільного центру з питань видачі документів дозвільного характеру.</w:t>
      </w:r>
    </w:p>
    <w:p w:rsidR="00243772" w:rsidRDefault="00243772" w:rsidP="00243772">
      <w:pPr>
        <w:pStyle w:val="BodyTextIndent"/>
      </w:pPr>
      <w:r>
        <w:t>18.01.2005р. за сприяння проекту ЄС «Покращення середовища для розвитку малого і середнього підприємництва в Україні» відбулося відкриття в місті інформаційно-консультаційного відділу як початкового етапу створення Дозвільного центру. Метою функціонування інформаційно-консультаційного відділу є надання інформаційної підтримки суб’єктам підприємництва та особам, що бажають започаткувати підприємницьку діяльність, з питань отримання дозволів і погоджень у сфері господарської діяльності. При цьому зацікавлені особи мають можливість безкоштовно отримати друковані інформаційні матеріали про порядок отримання дозвільно - погоджувальної документації.</w:t>
      </w:r>
    </w:p>
    <w:p w:rsidR="00243772" w:rsidRDefault="00243772" w:rsidP="00243772">
      <w:pPr>
        <w:pStyle w:val="BodyText"/>
        <w:ind w:firstLine="708"/>
        <w:jc w:val="both"/>
      </w:pPr>
      <w:r>
        <w:t>У вересні 2005 року за підтримки проекту БІЗПРО відкрито Дозвільний центр, що функціонує з поєднанням принципів «єдиного вікна» та «єдиного офісу» з видачі документів дозвільного характеру в сфері господарської діяльності (дозволів, погоджень, висновків тощо), необхідних для ведення підприємницької діяльності. Метою діяльності Дозвільного центру є вдосконалення та спрощення дозвільно-погоджувальних процедур для суб’єктів підприємництва і осіб, що бажають розпочати власну справу, а також забезпечення їх необхідною інформацією щодо отримання документів дозвільного характеру.</w:t>
      </w:r>
    </w:p>
    <w:p w:rsidR="00243772" w:rsidRDefault="00243772" w:rsidP="00243772">
      <w:pPr>
        <w:pStyle w:val="BodyText"/>
        <w:ind w:firstLine="708"/>
        <w:jc w:val="both"/>
      </w:pPr>
      <w:r>
        <w:t xml:space="preserve">В рамках роботи Дозвільного центру, надається комплекс послуг з видачі дозволів, погоджень у сфері будівництва, земельних відносин, торгівлі, житлово-комунального господарства, пожежного і санітарного </w:t>
      </w:r>
      <w:r>
        <w:lastRenderedPageBreak/>
        <w:t>нагляду та ін. (понад 20 дозволів, близько 40 висновків, погоджень, довідок). На сьогоднішній день до роботи залучені практично всі міські служби, уповноваженні здійснювати дозвільно-погоджувальні процедури:</w:t>
      </w:r>
    </w:p>
    <w:p w:rsidR="00243772" w:rsidRDefault="00243772" w:rsidP="00243772">
      <w:pPr>
        <w:pStyle w:val="BodyText"/>
        <w:numPr>
          <w:ilvl w:val="0"/>
          <w:numId w:val="5"/>
        </w:numPr>
        <w:tabs>
          <w:tab w:val="clear" w:pos="1607"/>
          <w:tab w:val="num" w:pos="1080"/>
        </w:tabs>
        <w:ind w:left="1080" w:hanging="360"/>
        <w:jc w:val="both"/>
      </w:pPr>
      <w:r>
        <w:t>управління архітектури та містобудування виконавчого комітету міської ради, в т.ч. інспекція державного архітектурно-будівельного контролю;</w:t>
      </w:r>
    </w:p>
    <w:p w:rsidR="00243772" w:rsidRDefault="00243772" w:rsidP="00243772">
      <w:pPr>
        <w:pStyle w:val="BodyText"/>
        <w:numPr>
          <w:ilvl w:val="0"/>
          <w:numId w:val="5"/>
        </w:numPr>
        <w:tabs>
          <w:tab w:val="clear" w:pos="1607"/>
          <w:tab w:val="num" w:pos="1080"/>
        </w:tabs>
        <w:ind w:left="1080" w:hanging="360"/>
        <w:jc w:val="both"/>
      </w:pPr>
      <w:r>
        <w:t>управління житлово-комунального господарства виконавчого комітету міської ради;</w:t>
      </w:r>
    </w:p>
    <w:p w:rsidR="00243772" w:rsidRDefault="00243772" w:rsidP="00243772">
      <w:pPr>
        <w:pStyle w:val="BodyText"/>
        <w:numPr>
          <w:ilvl w:val="0"/>
          <w:numId w:val="5"/>
        </w:numPr>
        <w:tabs>
          <w:tab w:val="clear" w:pos="1607"/>
          <w:tab w:val="num" w:pos="1080"/>
        </w:tabs>
        <w:ind w:left="1080" w:hanging="360"/>
        <w:jc w:val="both"/>
      </w:pPr>
      <w:r>
        <w:t>управління торгівлі виконавчого комітету міської ради;</w:t>
      </w:r>
    </w:p>
    <w:p w:rsidR="00243772" w:rsidRDefault="00243772" w:rsidP="00243772">
      <w:pPr>
        <w:pStyle w:val="BodyText"/>
        <w:numPr>
          <w:ilvl w:val="0"/>
          <w:numId w:val="5"/>
        </w:numPr>
        <w:tabs>
          <w:tab w:val="clear" w:pos="1607"/>
          <w:tab w:val="num" w:pos="1080"/>
        </w:tabs>
        <w:ind w:left="1080" w:hanging="360"/>
        <w:jc w:val="both"/>
      </w:pPr>
      <w:r>
        <w:t>управління культури виконавчого комітету міської ради;</w:t>
      </w:r>
    </w:p>
    <w:p w:rsidR="00243772" w:rsidRDefault="00243772" w:rsidP="00243772">
      <w:pPr>
        <w:pStyle w:val="BodyText"/>
        <w:numPr>
          <w:ilvl w:val="0"/>
          <w:numId w:val="5"/>
        </w:numPr>
        <w:tabs>
          <w:tab w:val="clear" w:pos="1607"/>
          <w:tab w:val="num" w:pos="1080"/>
        </w:tabs>
        <w:ind w:left="1080" w:hanging="360"/>
        <w:jc w:val="both"/>
      </w:pPr>
      <w:r>
        <w:t>міське управління земельних ресурсів;</w:t>
      </w:r>
    </w:p>
    <w:p w:rsidR="00243772" w:rsidRDefault="00243772" w:rsidP="00243772">
      <w:pPr>
        <w:pStyle w:val="BodyText"/>
        <w:numPr>
          <w:ilvl w:val="0"/>
          <w:numId w:val="5"/>
        </w:numPr>
        <w:tabs>
          <w:tab w:val="clear" w:pos="1607"/>
          <w:tab w:val="num" w:pos="1080"/>
        </w:tabs>
        <w:ind w:left="1080" w:hanging="360"/>
        <w:jc w:val="both"/>
      </w:pPr>
      <w:r>
        <w:t>міська санітарно-епідеміологічна станція;</w:t>
      </w:r>
    </w:p>
    <w:p w:rsidR="00243772" w:rsidRDefault="00243772" w:rsidP="00243772">
      <w:pPr>
        <w:pStyle w:val="BodyText"/>
        <w:numPr>
          <w:ilvl w:val="0"/>
          <w:numId w:val="5"/>
        </w:numPr>
        <w:tabs>
          <w:tab w:val="clear" w:pos="1607"/>
          <w:tab w:val="num" w:pos="1080"/>
        </w:tabs>
        <w:ind w:left="1080" w:hanging="360"/>
        <w:jc w:val="both"/>
      </w:pPr>
      <w:r>
        <w:t>міське управління головного управління МНС України в Івано-Франківській області (пожежна охорона).</w:t>
      </w:r>
    </w:p>
    <w:p w:rsidR="00243772" w:rsidRDefault="00243772" w:rsidP="00243772">
      <w:pPr>
        <w:jc w:val="both"/>
        <w:rPr>
          <w:sz w:val="28"/>
          <w:lang w:val="uk-UA"/>
        </w:rPr>
      </w:pPr>
      <w:r>
        <w:rPr>
          <w:sz w:val="28"/>
          <w:lang w:val="uk-UA"/>
        </w:rPr>
        <w:tab/>
        <w:t>Для забезпечення ефективного функціонування Дозвільного центру, регламентації його роботи, координація дій всіх учасників, налагодження системи обліку та контролю, запровадження єдиного порядку здійснення дозвільно-погоджувальних процедур, тощо прийнято ряд нормативно-правових документів, а саме:</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рішення виконавчого комітету міської ради від 16.08.2005р. №285 “Про затвердження Регламенту роботи Дозвільного центру”;</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рішення виконавчого комітету міської ради від 22.09.2005р. №317 “Про затвердження технічних регламентів надання документів дозвільного характеру в Дозвільному центрі м. Івано-Франківська”;</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рішення виконавчого комітету міської ради від 25.10.2005р. №344 “Про внесення змін і доповнень до Регламенту роботи Дозвільного центру”;</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рішення виконавчого комітету міської ради від 25.10.2005р. №345 “Про внесення змін і доповнень до технічних регламентів надання документів дозвільного характеру в Дозвільному центрі м. Івано-Франківська”;</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розпорядження міського голови від 09.12.2005р. №703-р “Про внесення змін і доповнень до Регламенту роботи Дозвільного центру та технічних регламентів надання документів дозвільного характеру”;</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розпорядження міського голови від 29.12.2005р. №797-р “Про внесення змін і доповнень до технічних регламентів надання документів дозвільного характеру в Дозвільному центру м. Івано-Франківська”;</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розпорядження міського голови від 25.08.2005р. №449-р “Про призначення відповідального працівника-адміністратора дозвільних процедур”;</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lastRenderedPageBreak/>
        <w:t>розпорядження міського голови від 05.10.2005р. №545-р “Про забезпечення транспортом працівників Дозвільного центру”;</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розпорядження міського голови від 28.10.2005р. №596-р “</w:t>
      </w:r>
      <w:r>
        <w:rPr>
          <w:sz w:val="28"/>
        </w:rPr>
        <w:t>Про проведення засідань комісій</w:t>
      </w:r>
      <w:r>
        <w:rPr>
          <w:sz w:val="28"/>
          <w:lang w:val="uk-UA"/>
        </w:rPr>
        <w:t>”;</w:t>
      </w:r>
    </w:p>
    <w:p w:rsidR="00243772" w:rsidRDefault="00243772" w:rsidP="00243772">
      <w:pPr>
        <w:numPr>
          <w:ilvl w:val="0"/>
          <w:numId w:val="6"/>
        </w:numPr>
        <w:tabs>
          <w:tab w:val="clear" w:pos="1607"/>
          <w:tab w:val="num" w:pos="1080"/>
        </w:tabs>
        <w:ind w:left="1080" w:hanging="360"/>
        <w:jc w:val="both"/>
        <w:rPr>
          <w:sz w:val="28"/>
          <w:lang w:val="uk-UA"/>
        </w:rPr>
      </w:pPr>
      <w:r>
        <w:rPr>
          <w:sz w:val="28"/>
          <w:lang w:val="uk-UA"/>
        </w:rPr>
        <w:t>розпорядження міського голови від 22.12.2005р. №484 “Про участь управління архітектури і містобудування, міського управління головного управління МНС України в Івано-Франківській області та першого міжрайонного відділення ДАІ м. Івано-Франківська в погодженні ордерів на проведення земляних робіт”.</w:t>
      </w:r>
    </w:p>
    <w:p w:rsidR="00243772" w:rsidRDefault="00243772" w:rsidP="00243772">
      <w:pPr>
        <w:jc w:val="both"/>
        <w:rPr>
          <w:sz w:val="28"/>
          <w:lang w:val="uk-UA"/>
        </w:rPr>
      </w:pPr>
    </w:p>
    <w:p w:rsidR="00243772" w:rsidRDefault="00243772" w:rsidP="00243772">
      <w:pPr>
        <w:pStyle w:val="Heading1"/>
        <w:keepNext w:val="0"/>
        <w:ind w:right="68" w:firstLine="567"/>
        <w:jc w:val="both"/>
      </w:pPr>
      <w:r>
        <w:t>Для посилення кадрового забезпечення Дозвільного центру прийнято рішення міської ради від 13.12.2005р. “Про внесення доповнень до рішення міської ради від 11.07.2002р. “Про структуру і чисельність виконавчих органів міської ради”, відповідно до якого введено дві додаткові штатні одиниці для роботи в Дозвільному центрі. Внесено зміни до посадових інструкцій працівників відділу підтримки та розвитку підприємництва, відповідно до яких 3 працівники визначено адміністраторами Дозвільного центру.</w:t>
      </w:r>
    </w:p>
    <w:p w:rsidR="00243772" w:rsidRDefault="00243772" w:rsidP="00243772">
      <w:pPr>
        <w:pStyle w:val="BodyText2"/>
      </w:pPr>
      <w:r>
        <w:tab/>
        <w:t>Станом на 01.01.2006р. в Дозвільному центрі прийнято 1105 вхідних пакетів, видано 838 документів дозвільного характеру (вихідних пакетів), з яких – 728 позитивних рішень та 110 відмов.</w:t>
      </w:r>
    </w:p>
    <w:tbl>
      <w:tblPr>
        <w:tblW w:w="0" w:type="auto"/>
        <w:tblLayout w:type="fixed"/>
        <w:tblLook w:val="01E0" w:firstRow="1" w:lastRow="1" w:firstColumn="1" w:lastColumn="1" w:noHBand="0" w:noVBand="0"/>
      </w:tblPr>
      <w:tblGrid>
        <w:gridCol w:w="4788"/>
        <w:gridCol w:w="4498"/>
      </w:tblGrid>
      <w:tr w:rsidR="00243772" w:rsidTr="00665215">
        <w:tblPrEx>
          <w:tblCellMar>
            <w:top w:w="0" w:type="dxa"/>
            <w:bottom w:w="0" w:type="dxa"/>
          </w:tblCellMar>
        </w:tblPrEx>
        <w:tc>
          <w:tcPr>
            <w:tcW w:w="4788" w:type="dxa"/>
          </w:tcPr>
          <w:p w:rsidR="00243772" w:rsidRDefault="00243772" w:rsidP="00665215">
            <w:pPr>
              <w:pStyle w:val="BodyText2"/>
            </w:pPr>
            <w:r>
              <w:rPr>
                <w:noProof/>
                <w:lang w:eastAsia="uk-UA"/>
              </w:rPr>
              <w:drawing>
                <wp:inline distT="0" distB="0" distL="0" distR="0">
                  <wp:extent cx="2976245" cy="174815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498" w:type="dxa"/>
          </w:tcPr>
          <w:p w:rsidR="00243772" w:rsidRDefault="00243772" w:rsidP="00665215">
            <w:pPr>
              <w:pStyle w:val="BodyText2"/>
            </w:pPr>
            <w:r>
              <w:rPr>
                <w:noProof/>
                <w:lang w:eastAsia="uk-UA"/>
              </w:rPr>
              <w:drawing>
                <wp:inline distT="0" distB="0" distL="0" distR="0">
                  <wp:extent cx="3012440" cy="1783715"/>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243772" w:rsidRDefault="00243772" w:rsidP="00243772">
      <w:pPr>
        <w:rPr>
          <w:lang w:val="uk-UA"/>
        </w:rPr>
      </w:pPr>
    </w:p>
    <w:p w:rsidR="00243772" w:rsidRDefault="00243772" w:rsidP="00243772">
      <w:pPr>
        <w:rPr>
          <w:lang w:val="uk-UA"/>
        </w:rPr>
      </w:pPr>
    </w:p>
    <w:p w:rsidR="00243772" w:rsidRDefault="00243772" w:rsidP="00243772">
      <w:pPr>
        <w:rPr>
          <w:sz w:val="28"/>
          <w:lang w:val="uk-UA"/>
        </w:rPr>
      </w:pPr>
      <w:r>
        <w:rPr>
          <w:sz w:val="28"/>
          <w:lang w:val="uk-UA"/>
        </w:rPr>
        <w:tab/>
        <w:t>Начальник управління соціально –</w:t>
      </w:r>
    </w:p>
    <w:p w:rsidR="00243772" w:rsidRDefault="00243772" w:rsidP="00243772">
      <w:pPr>
        <w:rPr>
          <w:sz w:val="28"/>
          <w:lang w:val="uk-UA"/>
        </w:rPr>
      </w:pPr>
      <w:r>
        <w:rPr>
          <w:sz w:val="28"/>
          <w:lang w:val="uk-UA"/>
        </w:rPr>
        <w:tab/>
        <w:t>економічного розвитку міста</w:t>
      </w:r>
      <w:r>
        <w:rPr>
          <w:sz w:val="28"/>
          <w:lang w:val="uk-UA"/>
        </w:rPr>
        <w:tab/>
      </w:r>
      <w:r>
        <w:rPr>
          <w:sz w:val="28"/>
          <w:lang w:val="uk-UA"/>
        </w:rPr>
        <w:tab/>
      </w:r>
      <w:r>
        <w:rPr>
          <w:sz w:val="28"/>
          <w:lang w:val="uk-UA"/>
        </w:rPr>
        <w:tab/>
      </w:r>
      <w:r>
        <w:rPr>
          <w:sz w:val="28"/>
          <w:lang w:val="uk-UA"/>
        </w:rPr>
        <w:tab/>
      </w:r>
      <w:r>
        <w:rPr>
          <w:sz w:val="28"/>
          <w:lang w:val="uk-UA"/>
        </w:rPr>
        <w:tab/>
        <w:t>Ю. Соловей</w:t>
      </w:r>
    </w:p>
    <w:p w:rsidR="006D066F" w:rsidRPr="00243772" w:rsidRDefault="006D066F">
      <w:pPr>
        <w:rPr>
          <w:lang w:val="uk-UA"/>
        </w:rPr>
      </w:pPr>
      <w:bookmarkStart w:id="0" w:name="_GoBack"/>
      <w:bookmarkEnd w:id="0"/>
    </w:p>
    <w:sectPr w:rsidR="006D066F" w:rsidRPr="00243772">
      <w:pgSz w:w="11906" w:h="16838"/>
      <w:pgMar w:top="1418" w:right="851" w:bottom="1134" w:left="1985"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173"/>
    <w:multiLevelType w:val="singleLevel"/>
    <w:tmpl w:val="81008464"/>
    <w:lvl w:ilvl="0">
      <w:numFmt w:val="bullet"/>
      <w:lvlText w:val="-"/>
      <w:lvlJc w:val="left"/>
      <w:pPr>
        <w:tabs>
          <w:tab w:val="num" w:pos="360"/>
        </w:tabs>
        <w:ind w:left="360" w:hanging="360"/>
      </w:pPr>
      <w:rPr>
        <w:rFonts w:hint="default"/>
      </w:rPr>
    </w:lvl>
  </w:abstractNum>
  <w:abstractNum w:abstractNumId="1">
    <w:nsid w:val="3ACA1301"/>
    <w:multiLevelType w:val="hybridMultilevel"/>
    <w:tmpl w:val="76D0A146"/>
    <w:lvl w:ilvl="0" w:tplc="FFFFFFFF">
      <w:start w:val="1"/>
      <w:numFmt w:val="bullet"/>
      <w:lvlText w:val=""/>
      <w:lvlJc w:val="left"/>
      <w:pPr>
        <w:tabs>
          <w:tab w:val="num" w:pos="1607"/>
        </w:tabs>
        <w:ind w:left="1588" w:hanging="341"/>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
    <w:nsid w:val="44AA0239"/>
    <w:multiLevelType w:val="hybridMultilevel"/>
    <w:tmpl w:val="D5326086"/>
    <w:lvl w:ilvl="0" w:tplc="FFFFFFFF">
      <w:start w:val="1"/>
      <w:numFmt w:val="bullet"/>
      <w:lvlText w:val=""/>
      <w:lvlJc w:val="left"/>
      <w:pPr>
        <w:tabs>
          <w:tab w:val="num" w:pos="1607"/>
        </w:tabs>
        <w:ind w:left="1588" w:hanging="341"/>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ED875E6"/>
    <w:multiLevelType w:val="hybridMultilevel"/>
    <w:tmpl w:val="A12C9EB8"/>
    <w:lvl w:ilvl="0" w:tplc="FFFFFFFF">
      <w:start w:val="1"/>
      <w:numFmt w:val="bullet"/>
      <w:lvlText w:val=""/>
      <w:lvlJc w:val="left"/>
      <w:pPr>
        <w:tabs>
          <w:tab w:val="num" w:pos="1607"/>
        </w:tabs>
        <w:ind w:left="1588" w:hanging="34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C034E9C"/>
    <w:multiLevelType w:val="hybridMultilevel"/>
    <w:tmpl w:val="F8D0D9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FAD6E84"/>
    <w:multiLevelType w:val="hybridMultilevel"/>
    <w:tmpl w:val="05B8A398"/>
    <w:lvl w:ilvl="0" w:tplc="FFFFFFFF">
      <w:start w:val="1"/>
      <w:numFmt w:val="bullet"/>
      <w:lvlText w:val="-"/>
      <w:lvlJc w:val="left"/>
      <w:pPr>
        <w:tabs>
          <w:tab w:val="num" w:pos="437"/>
        </w:tabs>
        <w:ind w:left="80" w:firstLine="0"/>
      </w:pPr>
      <w:rPr>
        <w:rFonts w:ascii="Times New Roman" w:eastAsia="Times New Roman" w:hAnsi="Times New Roman" w:cs="Times New Roman"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72"/>
    <w:rsid w:val="00243772"/>
    <w:rsid w:val="006D0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7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243772"/>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72"/>
    <w:rPr>
      <w:rFonts w:ascii="Times New Roman" w:eastAsia="Times New Roman" w:hAnsi="Times New Roman" w:cs="Times New Roman"/>
      <w:sz w:val="28"/>
      <w:szCs w:val="24"/>
      <w:lang w:eastAsia="ru-RU"/>
    </w:rPr>
  </w:style>
  <w:style w:type="paragraph" w:styleId="BodyText">
    <w:name w:val="Body Text"/>
    <w:basedOn w:val="Normal"/>
    <w:link w:val="BodyTextChar"/>
    <w:semiHidden/>
    <w:rsid w:val="00243772"/>
    <w:rPr>
      <w:sz w:val="28"/>
      <w:lang w:val="uk-UA"/>
    </w:rPr>
  </w:style>
  <w:style w:type="character" w:customStyle="1" w:styleId="BodyTextChar">
    <w:name w:val="Body Text Char"/>
    <w:basedOn w:val="DefaultParagraphFont"/>
    <w:link w:val="BodyText"/>
    <w:semiHidden/>
    <w:rsid w:val="00243772"/>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semiHidden/>
    <w:rsid w:val="00243772"/>
    <w:pPr>
      <w:ind w:firstLine="628"/>
      <w:jc w:val="both"/>
    </w:pPr>
    <w:rPr>
      <w:sz w:val="28"/>
      <w:szCs w:val="28"/>
      <w:lang w:val="uk-UA"/>
    </w:rPr>
  </w:style>
  <w:style w:type="character" w:customStyle="1" w:styleId="BodyTextIndent2Char">
    <w:name w:val="Body Text Indent 2 Char"/>
    <w:basedOn w:val="DefaultParagraphFont"/>
    <w:link w:val="BodyTextIndent2"/>
    <w:semiHidden/>
    <w:rsid w:val="00243772"/>
    <w:rPr>
      <w:rFonts w:ascii="Times New Roman" w:eastAsia="Times New Roman" w:hAnsi="Times New Roman" w:cs="Times New Roman"/>
      <w:sz w:val="28"/>
      <w:szCs w:val="28"/>
      <w:lang w:eastAsia="ru-RU"/>
    </w:rPr>
  </w:style>
  <w:style w:type="paragraph" w:styleId="Title">
    <w:name w:val="Title"/>
    <w:basedOn w:val="Normal"/>
    <w:link w:val="TitleChar"/>
    <w:qFormat/>
    <w:rsid w:val="00243772"/>
    <w:pPr>
      <w:jc w:val="center"/>
    </w:pPr>
    <w:rPr>
      <w:b/>
      <w:bCs/>
      <w:sz w:val="28"/>
      <w:lang w:val="uk-UA"/>
    </w:rPr>
  </w:style>
  <w:style w:type="character" w:customStyle="1" w:styleId="TitleChar">
    <w:name w:val="Title Char"/>
    <w:basedOn w:val="DefaultParagraphFont"/>
    <w:link w:val="Title"/>
    <w:rsid w:val="00243772"/>
    <w:rPr>
      <w:rFonts w:ascii="Times New Roman" w:eastAsia="Times New Roman" w:hAnsi="Times New Roman" w:cs="Times New Roman"/>
      <w:b/>
      <w:bCs/>
      <w:sz w:val="28"/>
      <w:szCs w:val="24"/>
      <w:lang w:eastAsia="ru-RU"/>
    </w:rPr>
  </w:style>
  <w:style w:type="paragraph" w:styleId="BodyTextIndent">
    <w:name w:val="Body Text Indent"/>
    <w:basedOn w:val="Normal"/>
    <w:link w:val="BodyTextIndentChar"/>
    <w:semiHidden/>
    <w:rsid w:val="00243772"/>
    <w:pPr>
      <w:ind w:firstLine="708"/>
      <w:jc w:val="both"/>
    </w:pPr>
    <w:rPr>
      <w:sz w:val="28"/>
      <w:szCs w:val="26"/>
      <w:lang w:val="uk-UA"/>
    </w:rPr>
  </w:style>
  <w:style w:type="character" w:customStyle="1" w:styleId="BodyTextIndentChar">
    <w:name w:val="Body Text Indent Char"/>
    <w:basedOn w:val="DefaultParagraphFont"/>
    <w:link w:val="BodyTextIndent"/>
    <w:semiHidden/>
    <w:rsid w:val="00243772"/>
    <w:rPr>
      <w:rFonts w:ascii="Times New Roman" w:eastAsia="Times New Roman" w:hAnsi="Times New Roman" w:cs="Times New Roman"/>
      <w:sz w:val="28"/>
      <w:szCs w:val="26"/>
      <w:lang w:eastAsia="ru-RU"/>
    </w:rPr>
  </w:style>
  <w:style w:type="paragraph" w:styleId="BodyText2">
    <w:name w:val="Body Text 2"/>
    <w:basedOn w:val="Normal"/>
    <w:link w:val="BodyText2Char"/>
    <w:semiHidden/>
    <w:rsid w:val="00243772"/>
    <w:pPr>
      <w:jc w:val="both"/>
    </w:pPr>
    <w:rPr>
      <w:sz w:val="28"/>
      <w:lang w:val="uk-UA"/>
    </w:rPr>
  </w:style>
  <w:style w:type="character" w:customStyle="1" w:styleId="BodyText2Char">
    <w:name w:val="Body Text 2 Char"/>
    <w:basedOn w:val="DefaultParagraphFont"/>
    <w:link w:val="BodyText2"/>
    <w:semiHidden/>
    <w:rsid w:val="00243772"/>
    <w:rPr>
      <w:rFonts w:ascii="Times New Roman" w:eastAsia="Times New Roman" w:hAnsi="Times New Roman" w:cs="Times New Roman"/>
      <w:sz w:val="28"/>
      <w:szCs w:val="24"/>
      <w:lang w:eastAsia="ru-RU"/>
    </w:rPr>
  </w:style>
  <w:style w:type="paragraph" w:styleId="BodyTextIndent3">
    <w:name w:val="Body Text Indent 3"/>
    <w:basedOn w:val="Normal"/>
    <w:link w:val="BodyTextIndent3Char"/>
    <w:semiHidden/>
    <w:rsid w:val="00243772"/>
    <w:pPr>
      <w:ind w:firstLine="709"/>
      <w:jc w:val="both"/>
    </w:pPr>
    <w:rPr>
      <w:sz w:val="28"/>
      <w:lang w:val="uk-UA"/>
    </w:rPr>
  </w:style>
  <w:style w:type="character" w:customStyle="1" w:styleId="BodyTextIndent3Char">
    <w:name w:val="Body Text Indent 3 Char"/>
    <w:basedOn w:val="DefaultParagraphFont"/>
    <w:link w:val="BodyTextIndent3"/>
    <w:semiHidden/>
    <w:rsid w:val="00243772"/>
    <w:rPr>
      <w:rFonts w:ascii="Times New Roman" w:eastAsia="Times New Roman" w:hAnsi="Times New Roman" w:cs="Times New Roman"/>
      <w:sz w:val="28"/>
      <w:szCs w:val="24"/>
      <w:lang w:eastAsia="ru-RU"/>
    </w:rPr>
  </w:style>
  <w:style w:type="paragraph" w:styleId="BalloonText">
    <w:name w:val="Balloon Text"/>
    <w:basedOn w:val="Normal"/>
    <w:link w:val="BalloonTextChar"/>
    <w:uiPriority w:val="99"/>
    <w:semiHidden/>
    <w:unhideWhenUsed/>
    <w:rsid w:val="00243772"/>
    <w:rPr>
      <w:rFonts w:ascii="Tahoma" w:hAnsi="Tahoma" w:cs="Tahoma"/>
      <w:sz w:val="16"/>
      <w:szCs w:val="16"/>
    </w:rPr>
  </w:style>
  <w:style w:type="character" w:customStyle="1" w:styleId="BalloonTextChar">
    <w:name w:val="Balloon Text Char"/>
    <w:basedOn w:val="DefaultParagraphFont"/>
    <w:link w:val="BalloonText"/>
    <w:uiPriority w:val="99"/>
    <w:semiHidden/>
    <w:rsid w:val="0024377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7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243772"/>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72"/>
    <w:rPr>
      <w:rFonts w:ascii="Times New Roman" w:eastAsia="Times New Roman" w:hAnsi="Times New Roman" w:cs="Times New Roman"/>
      <w:sz w:val="28"/>
      <w:szCs w:val="24"/>
      <w:lang w:eastAsia="ru-RU"/>
    </w:rPr>
  </w:style>
  <w:style w:type="paragraph" w:styleId="BodyText">
    <w:name w:val="Body Text"/>
    <w:basedOn w:val="Normal"/>
    <w:link w:val="BodyTextChar"/>
    <w:semiHidden/>
    <w:rsid w:val="00243772"/>
    <w:rPr>
      <w:sz w:val="28"/>
      <w:lang w:val="uk-UA"/>
    </w:rPr>
  </w:style>
  <w:style w:type="character" w:customStyle="1" w:styleId="BodyTextChar">
    <w:name w:val="Body Text Char"/>
    <w:basedOn w:val="DefaultParagraphFont"/>
    <w:link w:val="BodyText"/>
    <w:semiHidden/>
    <w:rsid w:val="00243772"/>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semiHidden/>
    <w:rsid w:val="00243772"/>
    <w:pPr>
      <w:ind w:firstLine="628"/>
      <w:jc w:val="both"/>
    </w:pPr>
    <w:rPr>
      <w:sz w:val="28"/>
      <w:szCs w:val="28"/>
      <w:lang w:val="uk-UA"/>
    </w:rPr>
  </w:style>
  <w:style w:type="character" w:customStyle="1" w:styleId="BodyTextIndent2Char">
    <w:name w:val="Body Text Indent 2 Char"/>
    <w:basedOn w:val="DefaultParagraphFont"/>
    <w:link w:val="BodyTextIndent2"/>
    <w:semiHidden/>
    <w:rsid w:val="00243772"/>
    <w:rPr>
      <w:rFonts w:ascii="Times New Roman" w:eastAsia="Times New Roman" w:hAnsi="Times New Roman" w:cs="Times New Roman"/>
      <w:sz w:val="28"/>
      <w:szCs w:val="28"/>
      <w:lang w:eastAsia="ru-RU"/>
    </w:rPr>
  </w:style>
  <w:style w:type="paragraph" w:styleId="Title">
    <w:name w:val="Title"/>
    <w:basedOn w:val="Normal"/>
    <w:link w:val="TitleChar"/>
    <w:qFormat/>
    <w:rsid w:val="00243772"/>
    <w:pPr>
      <w:jc w:val="center"/>
    </w:pPr>
    <w:rPr>
      <w:b/>
      <w:bCs/>
      <w:sz w:val="28"/>
      <w:lang w:val="uk-UA"/>
    </w:rPr>
  </w:style>
  <w:style w:type="character" w:customStyle="1" w:styleId="TitleChar">
    <w:name w:val="Title Char"/>
    <w:basedOn w:val="DefaultParagraphFont"/>
    <w:link w:val="Title"/>
    <w:rsid w:val="00243772"/>
    <w:rPr>
      <w:rFonts w:ascii="Times New Roman" w:eastAsia="Times New Roman" w:hAnsi="Times New Roman" w:cs="Times New Roman"/>
      <w:b/>
      <w:bCs/>
      <w:sz w:val="28"/>
      <w:szCs w:val="24"/>
      <w:lang w:eastAsia="ru-RU"/>
    </w:rPr>
  </w:style>
  <w:style w:type="paragraph" w:styleId="BodyTextIndent">
    <w:name w:val="Body Text Indent"/>
    <w:basedOn w:val="Normal"/>
    <w:link w:val="BodyTextIndentChar"/>
    <w:semiHidden/>
    <w:rsid w:val="00243772"/>
    <w:pPr>
      <w:ind w:firstLine="708"/>
      <w:jc w:val="both"/>
    </w:pPr>
    <w:rPr>
      <w:sz w:val="28"/>
      <w:szCs w:val="26"/>
      <w:lang w:val="uk-UA"/>
    </w:rPr>
  </w:style>
  <w:style w:type="character" w:customStyle="1" w:styleId="BodyTextIndentChar">
    <w:name w:val="Body Text Indent Char"/>
    <w:basedOn w:val="DefaultParagraphFont"/>
    <w:link w:val="BodyTextIndent"/>
    <w:semiHidden/>
    <w:rsid w:val="00243772"/>
    <w:rPr>
      <w:rFonts w:ascii="Times New Roman" w:eastAsia="Times New Roman" w:hAnsi="Times New Roman" w:cs="Times New Roman"/>
      <w:sz w:val="28"/>
      <w:szCs w:val="26"/>
      <w:lang w:eastAsia="ru-RU"/>
    </w:rPr>
  </w:style>
  <w:style w:type="paragraph" w:styleId="BodyText2">
    <w:name w:val="Body Text 2"/>
    <w:basedOn w:val="Normal"/>
    <w:link w:val="BodyText2Char"/>
    <w:semiHidden/>
    <w:rsid w:val="00243772"/>
    <w:pPr>
      <w:jc w:val="both"/>
    </w:pPr>
    <w:rPr>
      <w:sz w:val="28"/>
      <w:lang w:val="uk-UA"/>
    </w:rPr>
  </w:style>
  <w:style w:type="character" w:customStyle="1" w:styleId="BodyText2Char">
    <w:name w:val="Body Text 2 Char"/>
    <w:basedOn w:val="DefaultParagraphFont"/>
    <w:link w:val="BodyText2"/>
    <w:semiHidden/>
    <w:rsid w:val="00243772"/>
    <w:rPr>
      <w:rFonts w:ascii="Times New Roman" w:eastAsia="Times New Roman" w:hAnsi="Times New Roman" w:cs="Times New Roman"/>
      <w:sz w:val="28"/>
      <w:szCs w:val="24"/>
      <w:lang w:eastAsia="ru-RU"/>
    </w:rPr>
  </w:style>
  <w:style w:type="paragraph" w:styleId="BodyTextIndent3">
    <w:name w:val="Body Text Indent 3"/>
    <w:basedOn w:val="Normal"/>
    <w:link w:val="BodyTextIndent3Char"/>
    <w:semiHidden/>
    <w:rsid w:val="00243772"/>
    <w:pPr>
      <w:ind w:firstLine="709"/>
      <w:jc w:val="both"/>
    </w:pPr>
    <w:rPr>
      <w:sz w:val="28"/>
      <w:lang w:val="uk-UA"/>
    </w:rPr>
  </w:style>
  <w:style w:type="character" w:customStyle="1" w:styleId="BodyTextIndent3Char">
    <w:name w:val="Body Text Indent 3 Char"/>
    <w:basedOn w:val="DefaultParagraphFont"/>
    <w:link w:val="BodyTextIndent3"/>
    <w:semiHidden/>
    <w:rsid w:val="00243772"/>
    <w:rPr>
      <w:rFonts w:ascii="Times New Roman" w:eastAsia="Times New Roman" w:hAnsi="Times New Roman" w:cs="Times New Roman"/>
      <w:sz w:val="28"/>
      <w:szCs w:val="24"/>
      <w:lang w:eastAsia="ru-RU"/>
    </w:rPr>
  </w:style>
  <w:style w:type="paragraph" w:styleId="BalloonText">
    <w:name w:val="Balloon Text"/>
    <w:basedOn w:val="Normal"/>
    <w:link w:val="BalloonTextChar"/>
    <w:uiPriority w:val="99"/>
    <w:semiHidden/>
    <w:unhideWhenUsed/>
    <w:rsid w:val="00243772"/>
    <w:rPr>
      <w:rFonts w:ascii="Tahoma" w:hAnsi="Tahoma" w:cs="Tahoma"/>
      <w:sz w:val="16"/>
      <w:szCs w:val="16"/>
    </w:rPr>
  </w:style>
  <w:style w:type="character" w:customStyle="1" w:styleId="BalloonTextChar">
    <w:name w:val="Balloon Text Char"/>
    <w:basedOn w:val="DefaultParagraphFont"/>
    <w:link w:val="BalloonText"/>
    <w:uiPriority w:val="99"/>
    <w:semiHidden/>
    <w:rsid w:val="0024377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Times New Roman"/>
                <a:ea typeface="Times New Roman"/>
                <a:cs typeface="Times New Roman"/>
              </a:defRPr>
            </a:pPr>
            <a:r>
              <a:rPr lang="uk-UA"/>
              <a:t>Динаміка реєстрації вхідних пакетів в Дозвільному центрі 
</a:t>
            </a:r>
          </a:p>
        </c:rich>
      </c:tx>
      <c:layout>
        <c:manualLayout>
          <c:xMode val="edge"/>
          <c:yMode val="edge"/>
          <c:x val="0.19867549668874171"/>
          <c:y val="0"/>
        </c:manualLayout>
      </c:layout>
      <c:overlay val="0"/>
      <c:spPr>
        <a:noFill/>
        <a:ln w="25438">
          <a:noFill/>
        </a:ln>
      </c:spPr>
    </c:title>
    <c:autoTitleDeleted val="0"/>
    <c:plotArea>
      <c:layout>
        <c:manualLayout>
          <c:layoutTarget val="inner"/>
          <c:xMode val="edge"/>
          <c:yMode val="edge"/>
          <c:x val="0.13907284768211919"/>
          <c:y val="0.41618497109826591"/>
          <c:w val="0.83112582781456956"/>
          <c:h val="0.27167630057803466"/>
        </c:manualLayout>
      </c:layout>
      <c:lineChart>
        <c:grouping val="standard"/>
        <c:varyColors val="0"/>
        <c:ser>
          <c:idx val="0"/>
          <c:order val="0"/>
          <c:spPr>
            <a:ln w="12719">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1239463035820781E-2"/>
                  <c:y val="-9.5080066680236816E-2"/>
                </c:manualLayout>
              </c:layout>
              <c:dLblPos val="r"/>
              <c:showLegendKey val="0"/>
              <c:showVal val="1"/>
              <c:showCatName val="0"/>
              <c:showSerName val="0"/>
              <c:showPercent val="0"/>
              <c:showBubbleSize val="0"/>
            </c:dLbl>
            <c:dLbl>
              <c:idx val="1"/>
              <c:layout>
                <c:manualLayout>
                  <c:x val="-5.0290239222907804E-2"/>
                  <c:y val="-9.3057001340048032E-2"/>
                </c:manualLayout>
              </c:layout>
              <c:dLblPos val="r"/>
              <c:showLegendKey val="0"/>
              <c:showVal val="1"/>
              <c:showCatName val="0"/>
              <c:showSerName val="0"/>
              <c:showPercent val="0"/>
              <c:showBubbleSize val="0"/>
            </c:dLbl>
            <c:dLbl>
              <c:idx val="2"/>
              <c:layout>
                <c:manualLayout>
                  <c:x val="-4.2784724019266321E-2"/>
                  <c:y val="-6.7623699516865074E-2"/>
                </c:manualLayout>
              </c:layout>
              <c:dLblPos val="r"/>
              <c:showLegendKey val="0"/>
              <c:showVal val="1"/>
              <c:showCatName val="0"/>
              <c:showSerName val="0"/>
              <c:showPercent val="0"/>
              <c:showBubbleSize val="0"/>
            </c:dLbl>
            <c:dLbl>
              <c:idx val="3"/>
              <c:layout>
                <c:manualLayout>
                  <c:x val="-4.1901725371916214E-2"/>
                  <c:y val="-9.4863423993845772E-2"/>
                </c:manualLayout>
              </c:layout>
              <c:dLblPos val="r"/>
              <c:showLegendKey val="0"/>
              <c:showVal val="1"/>
              <c:showCatName val="0"/>
              <c:showSerName val="0"/>
              <c:showPercent val="0"/>
              <c:showBubbleSize val="0"/>
            </c:dLbl>
            <c:dLbl>
              <c:idx val="4"/>
              <c:layout>
                <c:manualLayout>
                  <c:x val="-3.7707468446420395E-2"/>
                  <c:y val="2.5873382286177304E-2"/>
                </c:manualLayout>
              </c:layout>
              <c:dLblPos val="r"/>
              <c:showLegendKey val="0"/>
              <c:showVal val="1"/>
              <c:showCatName val="0"/>
              <c:showSerName val="0"/>
              <c:showPercent val="0"/>
              <c:showBubbleSize val="0"/>
            </c:dLbl>
            <c:dLbl>
              <c:idx val="5"/>
              <c:layout>
                <c:manualLayout>
                  <c:x val="-5.3380761189798787E-2"/>
                  <c:y val="-0.10096900929314061"/>
                </c:manualLayout>
              </c:layout>
              <c:dLblPos val="r"/>
              <c:showLegendKey val="0"/>
              <c:showVal val="1"/>
              <c:showCatName val="0"/>
              <c:showSerName val="0"/>
              <c:showPercent val="0"/>
              <c:showBubbleSize val="0"/>
            </c:dLbl>
            <c:dLbl>
              <c:idx val="6"/>
              <c:layout>
                <c:manualLayout>
                  <c:x val="-4.5875245986157255E-2"/>
                  <c:y val="-8.2652253395256087E-2"/>
                </c:manualLayout>
              </c:layout>
              <c:dLblPos val="r"/>
              <c:showLegendKey val="0"/>
              <c:showVal val="1"/>
              <c:showCatName val="0"/>
              <c:showSerName val="0"/>
              <c:showPercent val="0"/>
              <c:showBubbleSize val="0"/>
            </c:dLbl>
            <c:dLbl>
              <c:idx val="7"/>
              <c:layout>
                <c:manualLayout>
                  <c:x val="-4.4992247338807197E-2"/>
                  <c:y val="-8.9119466451764995E-2"/>
                </c:manualLayout>
              </c:layout>
              <c:dLblPos val="r"/>
              <c:showLegendKey val="0"/>
              <c:showVal val="1"/>
              <c:showCatName val="0"/>
              <c:showSerName val="0"/>
              <c:showPercent val="0"/>
              <c:showBubbleSize val="0"/>
            </c:dLbl>
            <c:dLbl>
              <c:idx val="8"/>
              <c:layout>
                <c:manualLayout>
                  <c:x val="-4.0797990413311322E-2"/>
                  <c:y val="-7.8606122714878504E-2"/>
                </c:manualLayout>
              </c:layout>
              <c:dLblPos val="r"/>
              <c:showLegendKey val="0"/>
              <c:showVal val="1"/>
              <c:showCatName val="0"/>
              <c:showSerName val="0"/>
              <c:showPercent val="0"/>
              <c:showBubbleSize val="0"/>
            </c:dLbl>
            <c:dLbl>
              <c:idx val="9"/>
              <c:layout>
                <c:manualLayout>
                  <c:x val="-4.6537508322252688E-2"/>
                  <c:y val="4.3142216235238916E-2"/>
                </c:manualLayout>
              </c:layout>
              <c:dLblPos val="r"/>
              <c:showLegendKey val="0"/>
              <c:showVal val="1"/>
              <c:showCatName val="0"/>
              <c:showSerName val="0"/>
              <c:showPercent val="0"/>
              <c:showBubbleSize val="0"/>
            </c:dLbl>
            <c:dLbl>
              <c:idx val="10"/>
              <c:layout>
                <c:manualLayout>
                  <c:x val="-6.2210801065630976E-2"/>
                  <c:y val="-6.6720190594774409E-2"/>
                </c:manualLayout>
              </c:layout>
              <c:dLblPos val="r"/>
              <c:showLegendKey val="0"/>
              <c:showVal val="1"/>
              <c:showCatName val="0"/>
              <c:showSerName val="0"/>
              <c:showPercent val="0"/>
              <c:showBubbleSize val="0"/>
            </c:dLbl>
            <c:dLbl>
              <c:idx val="11"/>
              <c:layout>
                <c:manualLayout>
                  <c:x val="-6.7950318974572405E-2"/>
                  <c:y val="-0.10552118075746447"/>
                </c:manualLayout>
              </c:layout>
              <c:dLblPos val="r"/>
              <c:showLegendKey val="0"/>
              <c:showVal val="1"/>
              <c:showCatName val="0"/>
              <c:showSerName val="0"/>
              <c:showPercent val="0"/>
              <c:showBubbleSize val="0"/>
            </c:dLbl>
            <c:dLbl>
              <c:idx val="12"/>
              <c:layout>
                <c:manualLayout>
                  <c:x val="-3.7265995823911047E-2"/>
                  <c:y val="-9.0961706340200385E-2"/>
                </c:manualLayout>
              </c:layout>
              <c:dLblPos val="r"/>
              <c:showLegendKey val="0"/>
              <c:showVal val="1"/>
              <c:showCatName val="0"/>
              <c:showSerName val="0"/>
              <c:showPercent val="0"/>
              <c:showBubbleSize val="0"/>
            </c:dLbl>
            <c:dLbl>
              <c:idx val="13"/>
              <c:layout>
                <c:manualLayout>
                  <c:x val="-7.9429354792454915E-2"/>
                  <c:y val="3.6639757988183211E-2"/>
                </c:manualLayout>
              </c:layout>
              <c:dLblPos val="r"/>
              <c:showLegendKey val="0"/>
              <c:showVal val="1"/>
              <c:showCatName val="0"/>
              <c:showSerName val="0"/>
              <c:showPercent val="0"/>
              <c:showBubbleSize val="0"/>
            </c:dLbl>
            <c:dLbl>
              <c:idx val="14"/>
              <c:layout>
                <c:manualLayout>
                  <c:x val="-5.9144283446650875E-3"/>
                  <c:y val="6.6227786283838241E-2"/>
                </c:manualLayout>
              </c:layout>
              <c:dLblPos val="r"/>
              <c:showLegendKey val="0"/>
              <c:showVal val="1"/>
              <c:showCatName val="0"/>
              <c:showSerName val="0"/>
              <c:showPercent val="0"/>
              <c:showBubbleSize val="0"/>
            </c:dLbl>
            <c:spPr>
              <a:noFill/>
              <a:ln w="25438">
                <a:noFill/>
              </a:ln>
            </c:spPr>
            <c:txPr>
              <a:bodyPr/>
              <a:lstStyle/>
              <a:p>
                <a:pPr>
                  <a:defRPr sz="80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Лист1!$A$4:$A$18</c:f>
              <c:strCache>
                <c:ptCount val="15"/>
                <c:pt idx="0">
                  <c:v>з 19.09 по 23.09</c:v>
                </c:pt>
                <c:pt idx="1">
                  <c:v>з 26.09 по 30.09</c:v>
                </c:pt>
                <c:pt idx="2">
                  <c:v>з 03.10 по 07.10</c:v>
                </c:pt>
                <c:pt idx="3">
                  <c:v>з 10.10 по 14.10</c:v>
                </c:pt>
                <c:pt idx="4">
                  <c:v>з 17.10 по 21.10</c:v>
                </c:pt>
                <c:pt idx="5">
                  <c:v>з 24.10 по 28.10</c:v>
                </c:pt>
                <c:pt idx="6">
                  <c:v>з 31.10 по 04.11</c:v>
                </c:pt>
                <c:pt idx="7">
                  <c:v>з 07.11 по 11.11</c:v>
                </c:pt>
                <c:pt idx="8">
                  <c:v>з 14.11 по 18.11</c:v>
                </c:pt>
                <c:pt idx="9">
                  <c:v>з 21.11 по 25.11</c:v>
                </c:pt>
                <c:pt idx="10">
                  <c:v>з 28.11 по 02.12</c:v>
                </c:pt>
                <c:pt idx="11">
                  <c:v>з 05.12 по 09.12</c:v>
                </c:pt>
                <c:pt idx="12">
                  <c:v>з 12.12 по 16.12</c:v>
                </c:pt>
                <c:pt idx="13">
                  <c:v>з 19.12 по 23.12</c:v>
                </c:pt>
                <c:pt idx="14">
                  <c:v>з 26.12 по 30.12</c:v>
                </c:pt>
              </c:strCache>
            </c:strRef>
          </c:cat>
          <c:val>
            <c:numRef>
              <c:f>Лист1!$B$4:$B$18</c:f>
              <c:numCache>
                <c:formatCode>General</c:formatCode>
                <c:ptCount val="15"/>
                <c:pt idx="0">
                  <c:v>3</c:v>
                </c:pt>
                <c:pt idx="1">
                  <c:v>11</c:v>
                </c:pt>
                <c:pt idx="2">
                  <c:v>43</c:v>
                </c:pt>
                <c:pt idx="3">
                  <c:v>61</c:v>
                </c:pt>
                <c:pt idx="4">
                  <c:v>47</c:v>
                </c:pt>
                <c:pt idx="5">
                  <c:v>54</c:v>
                </c:pt>
                <c:pt idx="6">
                  <c:v>75</c:v>
                </c:pt>
                <c:pt idx="7">
                  <c:v>78</c:v>
                </c:pt>
                <c:pt idx="8">
                  <c:v>91</c:v>
                </c:pt>
                <c:pt idx="9">
                  <c:v>81</c:v>
                </c:pt>
                <c:pt idx="10">
                  <c:v>98</c:v>
                </c:pt>
                <c:pt idx="11">
                  <c:v>116</c:v>
                </c:pt>
                <c:pt idx="12">
                  <c:v>145</c:v>
                </c:pt>
                <c:pt idx="13">
                  <c:v>101</c:v>
                </c:pt>
                <c:pt idx="14">
                  <c:v>98</c:v>
                </c:pt>
              </c:numCache>
            </c:numRef>
          </c:val>
          <c:smooth val="0"/>
        </c:ser>
        <c:dLbls>
          <c:showLegendKey val="0"/>
          <c:showVal val="1"/>
          <c:showCatName val="0"/>
          <c:showSerName val="0"/>
          <c:showPercent val="0"/>
          <c:showBubbleSize val="0"/>
        </c:dLbls>
        <c:marker val="1"/>
        <c:smooth val="0"/>
        <c:axId val="71129728"/>
        <c:axId val="71603712"/>
      </c:lineChart>
      <c:catAx>
        <c:axId val="71129728"/>
        <c:scaling>
          <c:orientation val="minMax"/>
        </c:scaling>
        <c:delete val="0"/>
        <c:axPos val="b"/>
        <c:numFmt formatCode="General" sourceLinked="1"/>
        <c:majorTickMark val="out"/>
        <c:minorTickMark val="none"/>
        <c:tickLblPos val="nextTo"/>
        <c:spPr>
          <a:ln w="3180">
            <a:solidFill>
              <a:srgbClr val="000000"/>
            </a:solidFill>
            <a:prstDash val="solid"/>
          </a:ln>
        </c:spPr>
        <c:txPr>
          <a:bodyPr rot="-2700000" vert="horz"/>
          <a:lstStyle/>
          <a:p>
            <a:pPr>
              <a:defRPr sz="426" b="0" i="0" u="none" strike="noStrike" baseline="0">
                <a:solidFill>
                  <a:srgbClr val="000000"/>
                </a:solidFill>
                <a:latin typeface="Arial Cyr"/>
                <a:ea typeface="Arial Cyr"/>
                <a:cs typeface="Arial Cyr"/>
              </a:defRPr>
            </a:pPr>
            <a:endParaRPr lang="uk-UA"/>
          </a:p>
        </c:txPr>
        <c:crossAx val="71603712"/>
        <c:crosses val="autoZero"/>
        <c:auto val="1"/>
        <c:lblAlgn val="ctr"/>
        <c:lblOffset val="100"/>
        <c:tickLblSkip val="1"/>
        <c:tickMarkSkip val="1"/>
        <c:noMultiLvlLbl val="0"/>
      </c:catAx>
      <c:valAx>
        <c:axId val="71603712"/>
        <c:scaling>
          <c:orientation val="minMax"/>
        </c:scaling>
        <c:delete val="0"/>
        <c:axPos val="l"/>
        <c:majorGridlines>
          <c:spPr>
            <a:ln w="3180">
              <a:solidFill>
                <a:srgbClr val="FFFFFF"/>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501" b="0" i="0" u="none" strike="noStrike" baseline="0">
                <a:solidFill>
                  <a:srgbClr val="000000"/>
                </a:solidFill>
                <a:latin typeface="Arial Cyr"/>
                <a:ea typeface="Arial Cyr"/>
                <a:cs typeface="Arial Cyr"/>
              </a:defRPr>
            </a:pPr>
            <a:endParaRPr lang="uk-UA"/>
          </a:p>
        </c:txPr>
        <c:crossAx val="71129728"/>
        <c:crosses val="autoZero"/>
        <c:crossBetween val="between"/>
        <c:majorUnit val="40"/>
        <c:minorUnit val="40"/>
      </c:valAx>
      <c:spPr>
        <a:noFill/>
        <a:ln w="25438">
          <a:noFill/>
        </a:ln>
      </c:spPr>
    </c:plotArea>
    <c:plotVisOnly val="1"/>
    <c:dispBlanksAs val="gap"/>
    <c:showDLblsOverMax val="0"/>
  </c:chart>
  <c:spPr>
    <a:noFill/>
    <a:ln>
      <a:noFill/>
    </a:ln>
  </c:spPr>
  <c:txPr>
    <a:bodyPr/>
    <a:lstStyle/>
    <a:p>
      <a:pPr>
        <a:defRPr sz="801"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6" b="1" i="0" u="none" strike="noStrike" baseline="0">
                <a:solidFill>
                  <a:srgbClr val="000000"/>
                </a:solidFill>
                <a:latin typeface="Times New Roman"/>
                <a:ea typeface="Times New Roman"/>
                <a:cs typeface="Times New Roman"/>
              </a:defRPr>
            </a:pPr>
            <a:r>
              <a:rPr lang="uk-UA"/>
              <a:t>Кількість вхідних пакетів в розрізі дозвільних установ
станом на 01.01.2006 р.</a:t>
            </a:r>
          </a:p>
        </c:rich>
      </c:tx>
      <c:layout>
        <c:manualLayout>
          <c:xMode val="edge"/>
          <c:yMode val="edge"/>
          <c:x val="0.21568627450980393"/>
          <c:y val="5.6497175141242938E-3"/>
        </c:manualLayout>
      </c:layout>
      <c:overlay val="0"/>
      <c:spPr>
        <a:noFill/>
        <a:ln w="25421">
          <a:noFill/>
        </a:ln>
      </c:spPr>
    </c:title>
    <c:autoTitleDeleted val="0"/>
    <c:plotArea>
      <c:layout>
        <c:manualLayout>
          <c:layoutTarget val="inner"/>
          <c:xMode val="edge"/>
          <c:yMode val="edge"/>
          <c:x val="0.15359477124183007"/>
          <c:y val="0.31073446327683618"/>
          <c:w val="0.81699346405228757"/>
          <c:h val="0.46892655367231639"/>
        </c:manualLayout>
      </c:layout>
      <c:barChart>
        <c:barDir val="col"/>
        <c:grouping val="clustered"/>
        <c:varyColors val="0"/>
        <c:ser>
          <c:idx val="0"/>
          <c:order val="0"/>
          <c:spPr>
            <a:solidFill>
              <a:srgbClr val="9999FF"/>
            </a:solidFill>
            <a:ln w="12710">
              <a:solidFill>
                <a:srgbClr val="000000"/>
              </a:solidFill>
              <a:prstDash val="solid"/>
            </a:ln>
          </c:spPr>
          <c:invertIfNegative val="0"/>
          <c:cat>
            <c:strRef>
              <c:f>'C:\Documents and Settings\5\Мои документы\Надя\[задиянистьслужб.xls]Лист1'!$A$5:$A$11</c:f>
              <c:strCache>
                <c:ptCount val="7"/>
                <c:pt idx="0">
                  <c:v>МУ ГУ МНС в області</c:v>
                </c:pt>
                <c:pt idx="1">
                  <c:v>Міська СЕС</c:v>
                </c:pt>
                <c:pt idx="2">
                  <c:v>Управління торгівлі</c:v>
                </c:pt>
                <c:pt idx="3">
                  <c:v>Управління культури</c:v>
                </c:pt>
                <c:pt idx="4">
                  <c:v>УЖКГ</c:v>
                </c:pt>
                <c:pt idx="5">
                  <c:v>УАМ</c:v>
                </c:pt>
                <c:pt idx="6">
                  <c:v>МУЗР</c:v>
                </c:pt>
              </c:strCache>
            </c:strRef>
          </c:cat>
          <c:val>
            <c:numRef>
              <c:f>'C:\Documents and Settings\5\Мои документы\Надя\[задиянистьслужб.xls]Лист1'!$B$5:$B$11</c:f>
              <c:numCache>
                <c:formatCode>General</c:formatCode>
                <c:ptCount val="7"/>
              </c:numCache>
            </c:numRef>
          </c:val>
        </c:ser>
        <c:ser>
          <c:idx val="1"/>
          <c:order val="1"/>
          <c:spPr>
            <a:pattFill prst="wdDn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10">
              <a:solidFill>
                <a:srgbClr val="000000"/>
              </a:solidFill>
              <a:prstDash val="solid"/>
            </a:ln>
          </c:spPr>
          <c:invertIfNegative val="0"/>
          <c:dLbls>
            <c:spPr>
              <a:noFill/>
              <a:ln w="25421">
                <a:noFill/>
              </a:ln>
            </c:spPr>
            <c:txPr>
              <a:bodyPr/>
              <a:lstStyle/>
              <a:p>
                <a:pPr>
                  <a:defRPr sz="5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'C:\Documents and Settings\5\Мои документы\Надя\[задиянистьслужб.xls]Лист1'!$A$5:$A$11</c:f>
              <c:strCache>
                <c:ptCount val="7"/>
                <c:pt idx="0">
                  <c:v>МУ ГУ МНС в області</c:v>
                </c:pt>
                <c:pt idx="1">
                  <c:v>Міська СЕС</c:v>
                </c:pt>
                <c:pt idx="2">
                  <c:v>Управління торгівлі</c:v>
                </c:pt>
                <c:pt idx="3">
                  <c:v>Управління культури</c:v>
                </c:pt>
                <c:pt idx="4">
                  <c:v>УЖКГ</c:v>
                </c:pt>
                <c:pt idx="5">
                  <c:v>УАМ</c:v>
                </c:pt>
                <c:pt idx="6">
                  <c:v>МУЗР</c:v>
                </c:pt>
              </c:strCache>
            </c:strRef>
          </c:cat>
          <c:val>
            <c:numRef>
              <c:f>'C:\Documents and Settings\5\Мои документы\Надя\[задиянистьслужб.xls]Лист1'!$C$5:$C$11</c:f>
              <c:numCache>
                <c:formatCode>General</c:formatCode>
                <c:ptCount val="7"/>
                <c:pt idx="0">
                  <c:v>54</c:v>
                </c:pt>
                <c:pt idx="1">
                  <c:v>134</c:v>
                </c:pt>
                <c:pt idx="2">
                  <c:v>96</c:v>
                </c:pt>
                <c:pt idx="3">
                  <c:v>127</c:v>
                </c:pt>
                <c:pt idx="4">
                  <c:v>64</c:v>
                </c:pt>
                <c:pt idx="5">
                  <c:v>387</c:v>
                </c:pt>
                <c:pt idx="6">
                  <c:v>213</c:v>
                </c:pt>
              </c:numCache>
            </c:numRef>
          </c:val>
        </c:ser>
        <c:dLbls>
          <c:showLegendKey val="0"/>
          <c:showVal val="0"/>
          <c:showCatName val="0"/>
          <c:showSerName val="0"/>
          <c:showPercent val="0"/>
          <c:showBubbleSize val="0"/>
        </c:dLbls>
        <c:gapWidth val="60"/>
        <c:overlap val="90"/>
        <c:axId val="83102720"/>
        <c:axId val="69844992"/>
      </c:barChart>
      <c:catAx>
        <c:axId val="83102720"/>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500" b="0" i="0" u="none" strike="noStrike" baseline="0">
                <a:solidFill>
                  <a:srgbClr val="000000"/>
                </a:solidFill>
                <a:latin typeface="Arial Cyr"/>
                <a:ea typeface="Arial Cyr"/>
                <a:cs typeface="Arial Cyr"/>
              </a:defRPr>
            </a:pPr>
            <a:endParaRPr lang="uk-UA"/>
          </a:p>
        </c:txPr>
        <c:crossAx val="69844992"/>
        <c:crosses val="autoZero"/>
        <c:auto val="1"/>
        <c:lblAlgn val="ctr"/>
        <c:lblOffset val="100"/>
        <c:tickLblSkip val="2"/>
        <c:tickMarkSkip val="1"/>
        <c:noMultiLvlLbl val="0"/>
      </c:catAx>
      <c:valAx>
        <c:axId val="69844992"/>
        <c:scaling>
          <c:orientation val="minMax"/>
        </c:scaling>
        <c:delete val="0"/>
        <c:axPos val="l"/>
        <c:majorGridlines>
          <c:spPr>
            <a:ln w="3178">
              <a:solidFill>
                <a:srgbClr val="FFFFFF"/>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uk-UA"/>
          </a:p>
        </c:txPr>
        <c:crossAx val="83102720"/>
        <c:crosses val="autoZero"/>
        <c:crossBetween val="between"/>
      </c:valAx>
      <c:spPr>
        <a:noFill/>
        <a:ln w="25421">
          <a:noFill/>
        </a:ln>
      </c:spPr>
    </c:plotArea>
    <c:plotVisOnly val="1"/>
    <c:dispBlanksAs val="gap"/>
    <c:showDLblsOverMax val="0"/>
  </c:chart>
  <c:spPr>
    <a:noFill/>
    <a:ln>
      <a:noFill/>
    </a:ln>
  </c:spPr>
  <c:txPr>
    <a:bodyPr/>
    <a:lstStyle/>
    <a:p>
      <a:pPr>
        <a:defRPr sz="801"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12446</Words>
  <Characters>7095</Characters>
  <Application>Microsoft Office Word</Application>
  <DocSecurity>0</DocSecurity>
  <Lines>59</Lines>
  <Paragraphs>39</Paragraphs>
  <ScaleCrop>false</ScaleCrop>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vfr</dc:creator>
  <cp:lastModifiedBy>vfr</cp:lastModifiedBy>
  <cp:revision>1</cp:revision>
  <dcterms:created xsi:type="dcterms:W3CDTF">2014-06-09T06:43:00Z</dcterms:created>
  <dcterms:modified xsi:type="dcterms:W3CDTF">2014-06-09T06:43:00Z</dcterms:modified>
</cp:coreProperties>
</file>