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22" w:rsidRPr="00720DC2" w:rsidRDefault="00183E22" w:rsidP="00183E22">
      <w:pPr>
        <w:jc w:val="center"/>
        <w:rPr>
          <w:b/>
          <w:lang w:val="uk-UA"/>
        </w:rPr>
      </w:pPr>
      <w:r w:rsidRPr="00720DC2">
        <w:rPr>
          <w:b/>
          <w:lang w:val="uk-UA"/>
        </w:rPr>
        <w:t>Інформація</w:t>
      </w:r>
    </w:p>
    <w:p w:rsidR="00183E22" w:rsidRPr="00720DC2" w:rsidRDefault="00183E22" w:rsidP="00183E22">
      <w:pPr>
        <w:jc w:val="center"/>
        <w:rPr>
          <w:b/>
          <w:lang w:val="uk-UA"/>
        </w:rPr>
      </w:pPr>
      <w:r w:rsidRPr="00720DC2">
        <w:rPr>
          <w:b/>
          <w:lang w:val="uk-UA"/>
        </w:rPr>
        <w:t xml:space="preserve">про виконання Програми економічного і соціального </w:t>
      </w:r>
    </w:p>
    <w:p w:rsidR="00183E22" w:rsidRPr="00720DC2" w:rsidRDefault="00183E22" w:rsidP="00183E22">
      <w:pPr>
        <w:jc w:val="center"/>
        <w:rPr>
          <w:lang w:val="uk-UA" w:eastAsia="uk-UA"/>
        </w:rPr>
      </w:pPr>
      <w:r w:rsidRPr="00720DC2">
        <w:rPr>
          <w:b/>
          <w:lang w:val="uk-UA"/>
        </w:rPr>
        <w:t xml:space="preserve">розвитку міста </w:t>
      </w:r>
      <w:r w:rsidRPr="00720DC2">
        <w:rPr>
          <w:b/>
          <w:lang w:val="uk-UA" w:eastAsia="uk-UA"/>
        </w:rPr>
        <w:t>за 2018 рік</w:t>
      </w:r>
    </w:p>
    <w:p w:rsidR="00841121" w:rsidRPr="00720DC2" w:rsidRDefault="00841121" w:rsidP="00183E22">
      <w:pPr>
        <w:pStyle w:val="a3"/>
        <w:ind w:firstLine="697"/>
        <w:rPr>
          <w:sz w:val="28"/>
          <w:szCs w:val="28"/>
          <w:lang w:val="uk-UA"/>
        </w:rPr>
      </w:pPr>
    </w:p>
    <w:p w:rsidR="00183E22" w:rsidRPr="00720DC2" w:rsidRDefault="00841121" w:rsidP="00183E22">
      <w:pPr>
        <w:pStyle w:val="a3"/>
        <w:ind w:firstLine="697"/>
        <w:rPr>
          <w:sz w:val="28"/>
          <w:szCs w:val="28"/>
          <w:lang w:val="uk-UA"/>
        </w:rPr>
      </w:pPr>
      <w:r w:rsidRPr="00720DC2">
        <w:rPr>
          <w:sz w:val="28"/>
          <w:szCs w:val="28"/>
          <w:lang w:val="uk-UA"/>
        </w:rPr>
        <w:t>Структурними підрозділами</w:t>
      </w:r>
      <w:r w:rsidR="00183E22" w:rsidRPr="00720DC2">
        <w:rPr>
          <w:sz w:val="28"/>
          <w:szCs w:val="28"/>
          <w:lang w:val="uk-UA"/>
        </w:rPr>
        <w:t xml:space="preserve"> виконавчого комітету міської ради, підприємствами та організаціями міста, суб’єктами підприємницької діяльності проведено значну роботу  в напрямку реалізації завдань та заходів Програми економічного і соціального розвитку міста Івано-Франківська на 2018 рік, </w:t>
      </w:r>
      <w:r w:rsidR="00FC0941" w:rsidRPr="00720DC2">
        <w:rPr>
          <w:sz w:val="28"/>
          <w:szCs w:val="28"/>
          <w:lang w:val="uk-UA"/>
        </w:rPr>
        <w:t xml:space="preserve">затвердженої рішенням сесії міської ради від 15.12.2017р. №360-17, </w:t>
      </w:r>
      <w:r w:rsidR="00183E22" w:rsidRPr="00720DC2">
        <w:rPr>
          <w:sz w:val="28"/>
          <w:szCs w:val="28"/>
          <w:lang w:val="uk-UA"/>
        </w:rPr>
        <w:t xml:space="preserve">а також </w:t>
      </w:r>
      <w:r w:rsidR="00FC0941" w:rsidRPr="00720DC2">
        <w:rPr>
          <w:sz w:val="28"/>
          <w:szCs w:val="28"/>
          <w:lang w:val="uk-UA"/>
        </w:rPr>
        <w:t xml:space="preserve">заходів </w:t>
      </w:r>
      <w:r w:rsidR="00183E22" w:rsidRPr="00720DC2">
        <w:rPr>
          <w:color w:val="000000"/>
          <w:sz w:val="28"/>
          <w:szCs w:val="28"/>
          <w:shd w:val="clear" w:color="auto" w:fill="FFFFFF"/>
          <w:lang w:val="uk-UA"/>
        </w:rPr>
        <w:t>щодо наповнення бюджету міста, дотримання режиму економії бюджетних коштів та посилення фінансово-бюджетної дисципліни на 2018 рік</w:t>
      </w:r>
      <w:r w:rsidR="00183E22" w:rsidRPr="00720DC2">
        <w:rPr>
          <w:sz w:val="28"/>
          <w:szCs w:val="28"/>
          <w:lang w:val="uk-UA"/>
        </w:rPr>
        <w:t>, затверджених рішенням виконавчого комітету від 01.03.2018р. №239.</w:t>
      </w:r>
    </w:p>
    <w:p w:rsidR="00183E22" w:rsidRPr="00720DC2" w:rsidRDefault="00183E22" w:rsidP="00183E22">
      <w:pPr>
        <w:ind w:firstLine="697"/>
        <w:jc w:val="both"/>
        <w:rPr>
          <w:rFonts w:eastAsia="Times New Roman" w:cs="Times New Roman"/>
          <w:lang w:val="uk-UA" w:eastAsia="uk-UA"/>
        </w:rPr>
      </w:pPr>
      <w:r w:rsidRPr="00720DC2">
        <w:rPr>
          <w:rFonts w:eastAsia="Times New Roman" w:cs="Times New Roman"/>
          <w:lang w:val="uk-UA" w:eastAsia="uk-UA"/>
        </w:rPr>
        <w:t xml:space="preserve">Ситуація </w:t>
      </w:r>
      <w:r w:rsidR="007D4F35">
        <w:rPr>
          <w:rFonts w:eastAsia="Times New Roman" w:cs="Times New Roman"/>
          <w:lang w:val="uk-UA" w:eastAsia="uk-UA"/>
        </w:rPr>
        <w:t>в</w:t>
      </w:r>
      <w:r w:rsidRPr="00720DC2">
        <w:rPr>
          <w:rFonts w:eastAsia="Times New Roman" w:cs="Times New Roman"/>
          <w:lang w:val="uk-UA" w:eastAsia="uk-UA"/>
        </w:rPr>
        <w:t xml:space="preserve"> реальному секторі економіки міста Івано-Франківська впродовж 2018 року характеризувалася наявністю як позитивних, так і негативних тенденцій.</w:t>
      </w:r>
    </w:p>
    <w:p w:rsidR="00183E22" w:rsidRPr="00720DC2" w:rsidRDefault="00183E22" w:rsidP="00183E22">
      <w:pPr>
        <w:ind w:firstLine="700"/>
        <w:jc w:val="both"/>
        <w:rPr>
          <w:bCs/>
          <w:lang w:val="uk-UA"/>
        </w:rPr>
      </w:pPr>
    </w:p>
    <w:p w:rsidR="00183E22" w:rsidRPr="002C73E4" w:rsidRDefault="00183E22" w:rsidP="00183E22">
      <w:pPr>
        <w:pStyle w:val="af1"/>
        <w:numPr>
          <w:ilvl w:val="0"/>
          <w:numId w:val="2"/>
        </w:numPr>
        <w:tabs>
          <w:tab w:val="left" w:pos="708"/>
          <w:tab w:val="left" w:pos="1416"/>
          <w:tab w:val="left" w:pos="2124"/>
          <w:tab w:val="left" w:pos="2832"/>
          <w:tab w:val="left" w:pos="3540"/>
          <w:tab w:val="left" w:pos="4248"/>
          <w:tab w:val="left" w:pos="4956"/>
          <w:tab w:val="left" w:pos="5833"/>
        </w:tabs>
        <w:jc w:val="both"/>
        <w:rPr>
          <w:b/>
          <w:bCs/>
          <w:i/>
          <w:sz w:val="28"/>
          <w:szCs w:val="28"/>
          <w:lang w:val="uk-UA"/>
        </w:rPr>
      </w:pPr>
      <w:r w:rsidRPr="002C73E4">
        <w:rPr>
          <w:b/>
          <w:bCs/>
          <w:i/>
          <w:sz w:val="28"/>
          <w:szCs w:val="28"/>
          <w:lang w:val="uk-UA"/>
        </w:rPr>
        <w:t>Податково-бюджетна політика</w:t>
      </w:r>
      <w:r w:rsidRPr="002C73E4">
        <w:rPr>
          <w:b/>
          <w:bCs/>
          <w:i/>
          <w:sz w:val="28"/>
          <w:szCs w:val="28"/>
          <w:lang w:val="uk-UA"/>
        </w:rPr>
        <w:tab/>
      </w:r>
    </w:p>
    <w:p w:rsidR="00183E22" w:rsidRPr="00720DC2" w:rsidRDefault="00183E22" w:rsidP="00183E22">
      <w:pPr>
        <w:pStyle w:val="af1"/>
        <w:tabs>
          <w:tab w:val="left" w:pos="708"/>
          <w:tab w:val="left" w:pos="1416"/>
          <w:tab w:val="left" w:pos="2124"/>
          <w:tab w:val="left" w:pos="2832"/>
          <w:tab w:val="left" w:pos="3540"/>
          <w:tab w:val="left" w:pos="4248"/>
          <w:tab w:val="left" w:pos="4956"/>
          <w:tab w:val="left" w:pos="5833"/>
        </w:tabs>
        <w:ind w:left="1065"/>
        <w:jc w:val="both"/>
        <w:rPr>
          <w:bCs/>
          <w:i/>
          <w:sz w:val="28"/>
          <w:szCs w:val="28"/>
          <w:highlight w:val="yellow"/>
          <w:lang w:val="uk-UA"/>
        </w:rPr>
      </w:pPr>
    </w:p>
    <w:p w:rsidR="008F0D2C" w:rsidRDefault="008F0D2C" w:rsidP="00183E22">
      <w:pPr>
        <w:pStyle w:val="af1"/>
        <w:ind w:left="0" w:firstLine="709"/>
        <w:jc w:val="both"/>
        <w:rPr>
          <w:rFonts w:eastAsia="Lucida Sans Unicode"/>
          <w:sz w:val="28"/>
          <w:szCs w:val="28"/>
          <w:lang w:val="uk-UA"/>
        </w:rPr>
      </w:pPr>
      <w:r w:rsidRPr="00E67414">
        <w:rPr>
          <w:rFonts w:eastAsia="Lucida Sans Unicode"/>
          <w:sz w:val="28"/>
          <w:szCs w:val="28"/>
          <w:lang w:val="uk-UA"/>
        </w:rPr>
        <w:t>За 2018 р</w:t>
      </w:r>
      <w:r>
        <w:rPr>
          <w:rFonts w:eastAsia="Lucida Sans Unicode"/>
          <w:sz w:val="28"/>
          <w:szCs w:val="28"/>
          <w:lang w:val="uk-UA"/>
        </w:rPr>
        <w:t>ік</w:t>
      </w:r>
      <w:r w:rsidRPr="00E67414">
        <w:rPr>
          <w:rFonts w:eastAsia="Lucida Sans Unicode"/>
          <w:sz w:val="28"/>
          <w:szCs w:val="28"/>
          <w:lang w:val="uk-UA"/>
        </w:rPr>
        <w:t xml:space="preserve"> міський бюджет в цілому по надходженнях загального та спеціального фонду виконано до річного плану на </w:t>
      </w:r>
      <w:r>
        <w:rPr>
          <w:rFonts w:eastAsia="Lucida Sans Unicode"/>
          <w:sz w:val="28"/>
          <w:szCs w:val="28"/>
          <w:lang w:val="uk-UA"/>
        </w:rPr>
        <w:t>93,2</w:t>
      </w:r>
      <w:r w:rsidRPr="00E67414">
        <w:rPr>
          <w:rFonts w:eastAsia="Lucida Sans Unicode"/>
          <w:sz w:val="28"/>
          <w:szCs w:val="28"/>
          <w:lang w:val="uk-UA"/>
        </w:rPr>
        <w:t xml:space="preserve"> відсотка (при плані на piк із врахуванням змін в сумі </w:t>
      </w:r>
      <w:r>
        <w:rPr>
          <w:rFonts w:eastAsia="Lucida Sans Unicode"/>
          <w:sz w:val="28"/>
          <w:szCs w:val="28"/>
          <w:lang w:val="uk-UA"/>
        </w:rPr>
        <w:t>3,0</w:t>
      </w:r>
      <w:r w:rsidRPr="00E67414">
        <w:rPr>
          <w:rFonts w:ascii="Times New Roman CYR" w:eastAsia="Lucida Sans Unicode" w:hAnsi="Times New Roman CYR" w:cs="Times New Roman CYR"/>
          <w:bCs/>
          <w:sz w:val="28"/>
          <w:szCs w:val="28"/>
          <w:lang w:val="uk-UA"/>
        </w:rPr>
        <w:t xml:space="preserve"> </w:t>
      </w:r>
      <w:r>
        <w:rPr>
          <w:rFonts w:eastAsia="Lucida Sans Unicode"/>
          <w:sz w:val="28"/>
          <w:szCs w:val="28"/>
          <w:lang w:val="uk-UA"/>
        </w:rPr>
        <w:t>млрд</w:t>
      </w:r>
      <w:r w:rsidR="00825E00">
        <w:rPr>
          <w:rFonts w:eastAsia="Lucida Sans Unicode"/>
          <w:sz w:val="28"/>
          <w:szCs w:val="28"/>
          <w:lang w:val="uk-UA"/>
        </w:rPr>
        <w:t xml:space="preserve"> </w:t>
      </w:r>
      <w:r>
        <w:rPr>
          <w:rFonts w:eastAsia="Lucida Sans Unicode"/>
          <w:sz w:val="28"/>
          <w:szCs w:val="28"/>
          <w:lang w:val="uk-UA"/>
        </w:rPr>
        <w:t>грн</w:t>
      </w:r>
      <w:r w:rsidRPr="00E67414">
        <w:rPr>
          <w:rFonts w:eastAsia="Lucida Sans Unicode"/>
          <w:sz w:val="28"/>
          <w:szCs w:val="28"/>
          <w:lang w:val="uk-UA"/>
        </w:rPr>
        <w:t xml:space="preserve"> фактично надійшло </w:t>
      </w:r>
      <w:r>
        <w:rPr>
          <w:rFonts w:eastAsia="Lucida Sans Unicode"/>
          <w:sz w:val="28"/>
          <w:szCs w:val="28"/>
          <w:lang w:val="uk-UA"/>
        </w:rPr>
        <w:t>2,8</w:t>
      </w:r>
      <w:r w:rsidRPr="00E67414">
        <w:rPr>
          <w:rFonts w:eastAsia="Lucida Sans Unicode"/>
          <w:sz w:val="28"/>
          <w:szCs w:val="28"/>
          <w:lang w:val="uk-UA"/>
        </w:rPr>
        <w:t xml:space="preserve"> </w:t>
      </w:r>
      <w:r>
        <w:rPr>
          <w:rFonts w:ascii="Times New Roman CYR" w:eastAsia="Lucida Sans Unicode" w:hAnsi="Times New Roman CYR" w:cs="Times New Roman CYR"/>
          <w:bCs/>
          <w:sz w:val="28"/>
          <w:szCs w:val="28"/>
          <w:lang w:val="uk-UA"/>
        </w:rPr>
        <w:t>млрд</w:t>
      </w:r>
      <w:r w:rsidR="00825E00">
        <w:rPr>
          <w:rFonts w:ascii="Times New Roman CYR" w:eastAsia="Lucida Sans Unicode" w:hAnsi="Times New Roman CYR" w:cs="Times New Roman CYR"/>
          <w:bCs/>
          <w:sz w:val="28"/>
          <w:szCs w:val="28"/>
          <w:lang w:val="uk-UA"/>
        </w:rPr>
        <w:t xml:space="preserve"> </w:t>
      </w:r>
      <w:r>
        <w:rPr>
          <w:rFonts w:eastAsia="Lucida Sans Unicode"/>
          <w:sz w:val="28"/>
          <w:szCs w:val="28"/>
          <w:lang w:val="uk-UA"/>
        </w:rPr>
        <w:t>грн</w:t>
      </w:r>
      <w:r w:rsidRPr="00E67414">
        <w:rPr>
          <w:rFonts w:eastAsia="Lucida Sans Unicode"/>
          <w:sz w:val="28"/>
          <w:szCs w:val="28"/>
          <w:lang w:val="uk-UA"/>
        </w:rPr>
        <w:t xml:space="preserve">, що на </w:t>
      </w:r>
      <w:r>
        <w:rPr>
          <w:rFonts w:eastAsia="Lucida Sans Unicode"/>
          <w:sz w:val="28"/>
          <w:szCs w:val="28"/>
          <w:lang w:val="uk-UA"/>
        </w:rPr>
        <w:t>205,7</w:t>
      </w:r>
      <w:r w:rsidRPr="00E67414">
        <w:rPr>
          <w:rFonts w:ascii="Times New Roman CYR" w:eastAsia="Lucida Sans Unicode" w:hAnsi="Times New Roman CYR" w:cs="Times New Roman CYR"/>
          <w:b/>
          <w:bCs/>
          <w:sz w:val="28"/>
          <w:szCs w:val="28"/>
          <w:lang w:val="uk-UA"/>
        </w:rPr>
        <w:t xml:space="preserve"> </w:t>
      </w:r>
      <w:r>
        <w:rPr>
          <w:rFonts w:eastAsia="Lucida Sans Unicode"/>
          <w:sz w:val="28"/>
          <w:szCs w:val="28"/>
          <w:lang w:val="uk-UA"/>
        </w:rPr>
        <w:t>млн</w:t>
      </w:r>
      <w:r w:rsidR="00825E00">
        <w:rPr>
          <w:rFonts w:eastAsia="Lucida Sans Unicode"/>
          <w:sz w:val="28"/>
          <w:szCs w:val="28"/>
          <w:lang w:val="uk-UA"/>
        </w:rPr>
        <w:t xml:space="preserve"> </w:t>
      </w:r>
      <w:r>
        <w:rPr>
          <w:rFonts w:eastAsia="Lucida Sans Unicode"/>
          <w:sz w:val="28"/>
          <w:szCs w:val="28"/>
          <w:lang w:val="uk-UA"/>
        </w:rPr>
        <w:t>грн</w:t>
      </w:r>
      <w:r w:rsidRPr="00E67414">
        <w:rPr>
          <w:rFonts w:eastAsia="Lucida Sans Unicode"/>
          <w:sz w:val="28"/>
          <w:szCs w:val="28"/>
          <w:lang w:val="uk-UA"/>
        </w:rPr>
        <w:t xml:space="preserve"> </w:t>
      </w:r>
      <w:r>
        <w:rPr>
          <w:rFonts w:eastAsia="Lucida Sans Unicode"/>
          <w:sz w:val="28"/>
          <w:szCs w:val="28"/>
          <w:lang w:val="uk-UA"/>
        </w:rPr>
        <w:t>менше</w:t>
      </w:r>
      <w:r w:rsidRPr="00E67414">
        <w:rPr>
          <w:rFonts w:eastAsia="Lucida Sans Unicode"/>
          <w:sz w:val="28"/>
          <w:szCs w:val="28"/>
          <w:lang w:val="uk-UA"/>
        </w:rPr>
        <w:t xml:space="preserve"> </w:t>
      </w:r>
      <w:r>
        <w:rPr>
          <w:rFonts w:eastAsia="Lucida Sans Unicode"/>
          <w:sz w:val="28"/>
          <w:szCs w:val="28"/>
          <w:lang w:val="uk-UA"/>
        </w:rPr>
        <w:t>планових показників</w:t>
      </w:r>
      <w:r w:rsidRPr="00E67414">
        <w:rPr>
          <w:rFonts w:eastAsia="Lucida Sans Unicode"/>
          <w:sz w:val="28"/>
          <w:szCs w:val="28"/>
          <w:lang w:val="uk-UA"/>
        </w:rPr>
        <w:t>).</w:t>
      </w:r>
      <w:r w:rsidR="004B6322">
        <w:rPr>
          <w:rFonts w:eastAsia="Lucida Sans Unicode"/>
          <w:sz w:val="28"/>
          <w:szCs w:val="28"/>
          <w:lang w:val="uk-UA"/>
        </w:rPr>
        <w:t xml:space="preserve"> У порівнянні з 2017 роком доходи міського бюджету збільшились на 10% (на 254,8 млн</w:t>
      </w:r>
      <w:r w:rsidR="00825E00">
        <w:rPr>
          <w:rFonts w:eastAsia="Lucida Sans Unicode"/>
          <w:sz w:val="28"/>
          <w:szCs w:val="28"/>
          <w:lang w:val="uk-UA"/>
        </w:rPr>
        <w:t xml:space="preserve"> </w:t>
      </w:r>
      <w:r w:rsidR="004B6322">
        <w:rPr>
          <w:rFonts w:eastAsia="Lucida Sans Unicode"/>
          <w:sz w:val="28"/>
          <w:szCs w:val="28"/>
          <w:lang w:val="uk-UA"/>
        </w:rPr>
        <w:t>грн).</w:t>
      </w:r>
    </w:p>
    <w:p w:rsidR="00023367" w:rsidRDefault="00825E00" w:rsidP="00183E22">
      <w:pPr>
        <w:pStyle w:val="af1"/>
        <w:ind w:left="0" w:firstLine="709"/>
        <w:jc w:val="both"/>
        <w:rPr>
          <w:rFonts w:eastAsia="Lucida Sans Unicode"/>
          <w:sz w:val="28"/>
          <w:szCs w:val="28"/>
          <w:lang w:val="uk-UA"/>
        </w:rPr>
      </w:pPr>
      <w:r>
        <w:rPr>
          <w:noProof/>
          <w:lang w:val="uk-UA" w:eastAsia="uk-UA"/>
        </w:rPr>
        <w:drawing>
          <wp:anchor distT="0" distB="0" distL="114300" distR="114300" simplePos="0" relativeHeight="251667456" behindDoc="0" locked="0" layoutInCell="1" allowOverlap="1" wp14:anchorId="31B8C6F6" wp14:editId="18B58A16">
            <wp:simplePos x="0" y="0"/>
            <wp:positionH relativeFrom="column">
              <wp:posOffset>207010</wp:posOffset>
            </wp:positionH>
            <wp:positionV relativeFrom="paragraph">
              <wp:posOffset>154940</wp:posOffset>
            </wp:positionV>
            <wp:extent cx="5364480" cy="2145665"/>
            <wp:effectExtent l="0" t="0" r="26670" b="2603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4B6322" w:rsidRDefault="00825E00" w:rsidP="00825E00">
      <w:pPr>
        <w:pStyle w:val="af1"/>
        <w:ind w:left="0" w:firstLine="709"/>
        <w:jc w:val="both"/>
        <w:rPr>
          <w:rFonts w:eastAsia="Lucida Sans Unicode"/>
          <w:sz w:val="28"/>
          <w:szCs w:val="28"/>
          <w:lang w:val="uk-UA"/>
        </w:rPr>
      </w:pPr>
      <w:r>
        <w:rPr>
          <w:noProof/>
          <w:lang w:val="uk-UA" w:eastAsia="uk-UA"/>
        </w:rPr>
        <w:drawing>
          <wp:anchor distT="0" distB="0" distL="114300" distR="114300" simplePos="0" relativeHeight="251666432" behindDoc="0" locked="0" layoutInCell="1" allowOverlap="1" wp14:anchorId="0B88A78F" wp14:editId="1490C9BB">
            <wp:simplePos x="0" y="0"/>
            <wp:positionH relativeFrom="column">
              <wp:posOffset>2171065</wp:posOffset>
            </wp:positionH>
            <wp:positionV relativeFrom="paragraph">
              <wp:posOffset>33020</wp:posOffset>
            </wp:positionV>
            <wp:extent cx="3689350" cy="2105660"/>
            <wp:effectExtent l="0" t="0" r="25400" b="2794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83E22" w:rsidRDefault="00183E22" w:rsidP="00183E22">
      <w:pPr>
        <w:pStyle w:val="af1"/>
        <w:ind w:left="0" w:firstLine="709"/>
        <w:jc w:val="both"/>
        <w:rPr>
          <w:bCs/>
          <w:sz w:val="28"/>
          <w:szCs w:val="28"/>
          <w:lang w:val="uk-UA"/>
        </w:rPr>
      </w:pPr>
      <w:r w:rsidRPr="00E671AD">
        <w:rPr>
          <w:bCs/>
          <w:sz w:val="28"/>
          <w:szCs w:val="28"/>
          <w:lang w:val="uk-UA"/>
        </w:rPr>
        <w:t>Міський бюджет м.Івано-Франківська по власних надходженнях загального та спеціального фонду за 2018 р</w:t>
      </w:r>
      <w:r w:rsidR="002C73E4" w:rsidRPr="00E671AD">
        <w:rPr>
          <w:bCs/>
          <w:sz w:val="28"/>
          <w:szCs w:val="28"/>
          <w:lang w:val="uk-UA"/>
        </w:rPr>
        <w:t>і</w:t>
      </w:r>
      <w:r w:rsidRPr="00E671AD">
        <w:rPr>
          <w:bCs/>
          <w:sz w:val="28"/>
          <w:szCs w:val="28"/>
          <w:lang w:val="uk-UA"/>
        </w:rPr>
        <w:t xml:space="preserve">к виконано на </w:t>
      </w:r>
      <w:r w:rsidR="002C73E4" w:rsidRPr="00E671AD">
        <w:rPr>
          <w:bCs/>
          <w:sz w:val="28"/>
          <w:szCs w:val="28"/>
          <w:lang w:val="uk-UA"/>
        </w:rPr>
        <w:t>90,4</w:t>
      </w:r>
      <w:r w:rsidRPr="00E671AD">
        <w:rPr>
          <w:bCs/>
          <w:sz w:val="28"/>
          <w:szCs w:val="28"/>
          <w:lang w:val="uk-UA"/>
        </w:rPr>
        <w:t xml:space="preserve"> відсотка (при уточненому плані – </w:t>
      </w:r>
      <w:r w:rsidR="002C73E4" w:rsidRPr="00E671AD">
        <w:rPr>
          <w:bCs/>
          <w:sz w:val="28"/>
          <w:szCs w:val="28"/>
          <w:lang w:val="uk-UA"/>
        </w:rPr>
        <w:t>1,7 мл</w:t>
      </w:r>
      <w:r w:rsidR="00E671AD">
        <w:rPr>
          <w:bCs/>
          <w:sz w:val="28"/>
          <w:szCs w:val="28"/>
          <w:lang w:val="uk-UA"/>
        </w:rPr>
        <w:t>рд</w:t>
      </w:r>
      <w:r w:rsidR="002C73E4" w:rsidRPr="00E671AD">
        <w:rPr>
          <w:bCs/>
          <w:sz w:val="28"/>
          <w:szCs w:val="28"/>
          <w:lang w:val="uk-UA"/>
        </w:rPr>
        <w:t xml:space="preserve"> грн</w:t>
      </w:r>
      <w:r w:rsidRPr="00E671AD">
        <w:rPr>
          <w:bCs/>
          <w:sz w:val="28"/>
          <w:szCs w:val="28"/>
          <w:lang w:val="uk-UA"/>
        </w:rPr>
        <w:t xml:space="preserve">, фактично надійшло </w:t>
      </w:r>
      <w:r w:rsidR="002C73E4" w:rsidRPr="00E671AD">
        <w:rPr>
          <w:bCs/>
          <w:sz w:val="28"/>
          <w:szCs w:val="28"/>
          <w:lang w:val="uk-UA"/>
        </w:rPr>
        <w:t>1,57 мл</w:t>
      </w:r>
      <w:r w:rsidR="00E671AD">
        <w:rPr>
          <w:bCs/>
          <w:sz w:val="28"/>
          <w:szCs w:val="28"/>
          <w:lang w:val="uk-UA"/>
        </w:rPr>
        <w:t>рд</w:t>
      </w:r>
      <w:r w:rsidR="002C73E4" w:rsidRPr="00E671AD">
        <w:rPr>
          <w:bCs/>
          <w:sz w:val="28"/>
          <w:szCs w:val="28"/>
          <w:lang w:val="uk-UA"/>
        </w:rPr>
        <w:t xml:space="preserve"> </w:t>
      </w:r>
      <w:r w:rsidRPr="00E671AD">
        <w:rPr>
          <w:bCs/>
          <w:sz w:val="28"/>
          <w:szCs w:val="28"/>
          <w:lang w:val="uk-UA"/>
        </w:rPr>
        <w:t xml:space="preserve">грн, </w:t>
      </w:r>
      <w:r w:rsidRPr="00E671AD">
        <w:rPr>
          <w:bCs/>
          <w:sz w:val="28"/>
          <w:szCs w:val="28"/>
          <w:lang w:val="uk-UA"/>
        </w:rPr>
        <w:lastRenderedPageBreak/>
        <w:t xml:space="preserve">що на </w:t>
      </w:r>
      <w:r w:rsidR="002C73E4" w:rsidRPr="00E671AD">
        <w:rPr>
          <w:bCs/>
          <w:sz w:val="28"/>
          <w:szCs w:val="28"/>
          <w:lang w:val="uk-UA"/>
        </w:rPr>
        <w:t>272,8</w:t>
      </w:r>
      <w:r w:rsidRPr="00E671AD">
        <w:rPr>
          <w:bCs/>
          <w:sz w:val="28"/>
          <w:szCs w:val="28"/>
          <w:lang w:val="uk-UA"/>
        </w:rPr>
        <w:t xml:space="preserve"> </w:t>
      </w:r>
      <w:r w:rsidR="00E671AD">
        <w:rPr>
          <w:bCs/>
          <w:sz w:val="28"/>
          <w:szCs w:val="28"/>
          <w:lang w:val="uk-UA"/>
        </w:rPr>
        <w:t>млн</w:t>
      </w:r>
      <w:r w:rsidR="002C73E4" w:rsidRPr="00E671AD">
        <w:rPr>
          <w:bCs/>
          <w:sz w:val="28"/>
          <w:szCs w:val="28"/>
          <w:lang w:val="uk-UA"/>
        </w:rPr>
        <w:t xml:space="preserve"> грн</w:t>
      </w:r>
      <w:r w:rsidRPr="00E671AD">
        <w:rPr>
          <w:bCs/>
          <w:sz w:val="28"/>
          <w:szCs w:val="28"/>
          <w:lang w:val="uk-UA"/>
        </w:rPr>
        <w:t xml:space="preserve"> більше в порівнянні з </w:t>
      </w:r>
      <w:r w:rsidR="002C73E4" w:rsidRPr="00E671AD">
        <w:rPr>
          <w:bCs/>
          <w:sz w:val="28"/>
          <w:szCs w:val="28"/>
          <w:lang w:val="uk-UA"/>
        </w:rPr>
        <w:t>попереднім</w:t>
      </w:r>
      <w:r w:rsidRPr="00E671AD">
        <w:rPr>
          <w:bCs/>
          <w:sz w:val="28"/>
          <w:szCs w:val="28"/>
          <w:lang w:val="uk-UA"/>
        </w:rPr>
        <w:t xml:space="preserve"> рок</w:t>
      </w:r>
      <w:r w:rsidR="002C73E4" w:rsidRPr="00E671AD">
        <w:rPr>
          <w:bCs/>
          <w:sz w:val="28"/>
          <w:szCs w:val="28"/>
          <w:lang w:val="uk-UA"/>
        </w:rPr>
        <w:t>ом</w:t>
      </w:r>
      <w:r w:rsidRPr="00E671AD">
        <w:rPr>
          <w:bCs/>
          <w:sz w:val="28"/>
          <w:szCs w:val="28"/>
          <w:lang w:val="uk-UA"/>
        </w:rPr>
        <w:t>).</w:t>
      </w:r>
    </w:p>
    <w:p w:rsidR="00183E22" w:rsidRPr="00E671AD" w:rsidRDefault="00183E22" w:rsidP="00183E22">
      <w:pPr>
        <w:pStyle w:val="af1"/>
        <w:ind w:left="0" w:firstLine="709"/>
        <w:jc w:val="both"/>
        <w:rPr>
          <w:bCs/>
          <w:sz w:val="28"/>
          <w:szCs w:val="28"/>
          <w:lang w:val="uk-UA"/>
        </w:rPr>
      </w:pPr>
      <w:r w:rsidRPr="00E671AD">
        <w:rPr>
          <w:bCs/>
          <w:sz w:val="28"/>
          <w:szCs w:val="28"/>
          <w:lang w:val="uk-UA"/>
        </w:rPr>
        <w:t xml:space="preserve">До загального фонду бюджету </w:t>
      </w:r>
      <w:r w:rsidR="00E671AD">
        <w:rPr>
          <w:bCs/>
          <w:sz w:val="28"/>
          <w:szCs w:val="28"/>
          <w:lang w:val="uk-UA"/>
        </w:rPr>
        <w:t>(без урахування трансфертів)</w:t>
      </w:r>
      <w:r w:rsidRPr="00E671AD">
        <w:rPr>
          <w:bCs/>
          <w:sz w:val="28"/>
          <w:szCs w:val="28"/>
          <w:lang w:val="uk-UA"/>
        </w:rPr>
        <w:t xml:space="preserve"> надійшло  </w:t>
      </w:r>
      <w:r w:rsidR="00E671AD" w:rsidRPr="00E671AD">
        <w:rPr>
          <w:bCs/>
          <w:sz w:val="28"/>
          <w:szCs w:val="28"/>
          <w:lang w:val="uk-UA"/>
        </w:rPr>
        <w:t>1,4 млрд</w:t>
      </w:r>
      <w:r w:rsidRPr="00E671AD">
        <w:rPr>
          <w:bCs/>
          <w:sz w:val="28"/>
          <w:szCs w:val="28"/>
          <w:lang w:val="uk-UA"/>
        </w:rPr>
        <w:t xml:space="preserve"> грн., що становить </w:t>
      </w:r>
      <w:r w:rsidR="00E671AD" w:rsidRPr="00E671AD">
        <w:rPr>
          <w:bCs/>
          <w:sz w:val="28"/>
          <w:szCs w:val="28"/>
          <w:lang w:val="uk-UA"/>
        </w:rPr>
        <w:t>88,9</w:t>
      </w:r>
      <w:r w:rsidRPr="00E671AD">
        <w:rPr>
          <w:bCs/>
          <w:sz w:val="28"/>
          <w:szCs w:val="28"/>
          <w:lang w:val="uk-UA"/>
        </w:rPr>
        <w:t xml:space="preserve"> відсотка до </w:t>
      </w:r>
      <w:r w:rsidR="00E671AD" w:rsidRPr="00E671AD">
        <w:rPr>
          <w:bCs/>
          <w:sz w:val="28"/>
          <w:szCs w:val="28"/>
          <w:lang w:val="uk-UA"/>
        </w:rPr>
        <w:t xml:space="preserve">уточненого </w:t>
      </w:r>
      <w:r w:rsidRPr="00E671AD">
        <w:rPr>
          <w:bCs/>
          <w:sz w:val="28"/>
          <w:szCs w:val="28"/>
          <w:lang w:val="uk-UA"/>
        </w:rPr>
        <w:t xml:space="preserve">плану на звітний період і в порівнянні з </w:t>
      </w:r>
      <w:r w:rsidR="00E671AD" w:rsidRPr="00E671AD">
        <w:rPr>
          <w:bCs/>
          <w:sz w:val="28"/>
          <w:szCs w:val="28"/>
          <w:lang w:val="uk-UA"/>
        </w:rPr>
        <w:t xml:space="preserve">попереднім </w:t>
      </w:r>
      <w:r w:rsidRPr="00E671AD">
        <w:rPr>
          <w:bCs/>
          <w:sz w:val="28"/>
          <w:szCs w:val="28"/>
          <w:lang w:val="uk-UA"/>
        </w:rPr>
        <w:t>2017 рок</w:t>
      </w:r>
      <w:r w:rsidR="00E671AD" w:rsidRPr="00E671AD">
        <w:rPr>
          <w:bCs/>
          <w:sz w:val="28"/>
          <w:szCs w:val="28"/>
          <w:lang w:val="uk-UA"/>
        </w:rPr>
        <w:t>ом</w:t>
      </w:r>
      <w:r w:rsidRPr="00E671AD">
        <w:rPr>
          <w:bCs/>
          <w:sz w:val="28"/>
          <w:szCs w:val="28"/>
          <w:lang w:val="uk-UA"/>
        </w:rPr>
        <w:t xml:space="preserve"> більше на </w:t>
      </w:r>
      <w:r w:rsidR="00E671AD" w:rsidRPr="00E671AD">
        <w:rPr>
          <w:bCs/>
          <w:sz w:val="28"/>
          <w:szCs w:val="28"/>
          <w:lang w:val="uk-UA"/>
        </w:rPr>
        <w:t>247,9 млн</w:t>
      </w:r>
      <w:r w:rsidRPr="00E671AD">
        <w:rPr>
          <w:bCs/>
          <w:sz w:val="28"/>
          <w:szCs w:val="28"/>
          <w:lang w:val="uk-UA"/>
        </w:rPr>
        <w:t xml:space="preserve"> грн.</w:t>
      </w:r>
    </w:p>
    <w:p w:rsidR="00183E22" w:rsidRPr="00E671AD" w:rsidRDefault="00183E22" w:rsidP="00183E22">
      <w:pPr>
        <w:pStyle w:val="af1"/>
        <w:ind w:left="0" w:firstLine="709"/>
        <w:jc w:val="both"/>
        <w:rPr>
          <w:bCs/>
          <w:sz w:val="28"/>
          <w:szCs w:val="28"/>
          <w:lang w:val="uk-UA"/>
        </w:rPr>
      </w:pPr>
      <w:r w:rsidRPr="00E671AD">
        <w:rPr>
          <w:bCs/>
          <w:sz w:val="28"/>
          <w:szCs w:val="28"/>
          <w:lang w:val="uk-UA"/>
        </w:rPr>
        <w:t xml:space="preserve">До спеціального фонду </w:t>
      </w:r>
      <w:r w:rsidR="00E671AD" w:rsidRPr="00E671AD">
        <w:rPr>
          <w:bCs/>
          <w:sz w:val="28"/>
          <w:szCs w:val="28"/>
          <w:lang w:val="uk-UA"/>
        </w:rPr>
        <w:t>(</w:t>
      </w:r>
      <w:r w:rsidRPr="00E671AD">
        <w:rPr>
          <w:bCs/>
          <w:sz w:val="28"/>
          <w:szCs w:val="28"/>
          <w:lang w:val="uk-UA"/>
        </w:rPr>
        <w:t>без урахування трансфертів</w:t>
      </w:r>
      <w:r w:rsidR="00E671AD" w:rsidRPr="00E671AD">
        <w:rPr>
          <w:bCs/>
          <w:sz w:val="28"/>
          <w:szCs w:val="28"/>
          <w:lang w:val="uk-UA"/>
        </w:rPr>
        <w:t>)</w:t>
      </w:r>
      <w:r w:rsidRPr="00E671AD">
        <w:rPr>
          <w:bCs/>
          <w:sz w:val="28"/>
          <w:szCs w:val="28"/>
          <w:lang w:val="uk-UA"/>
        </w:rPr>
        <w:t xml:space="preserve"> надійшло </w:t>
      </w:r>
      <w:r w:rsidR="00E671AD" w:rsidRPr="00E671AD">
        <w:rPr>
          <w:bCs/>
          <w:sz w:val="28"/>
          <w:szCs w:val="28"/>
          <w:lang w:val="uk-UA"/>
        </w:rPr>
        <w:t xml:space="preserve">141,4 млн </w:t>
      </w:r>
      <w:r w:rsidRPr="00E671AD">
        <w:rPr>
          <w:bCs/>
          <w:sz w:val="28"/>
          <w:szCs w:val="28"/>
          <w:lang w:val="uk-UA"/>
        </w:rPr>
        <w:t xml:space="preserve">грн., при уточненому плані </w:t>
      </w:r>
      <w:r w:rsidR="00E671AD" w:rsidRPr="00E671AD">
        <w:rPr>
          <w:bCs/>
          <w:sz w:val="28"/>
          <w:szCs w:val="28"/>
          <w:lang w:val="uk-UA"/>
        </w:rPr>
        <w:t xml:space="preserve">128,2 млн </w:t>
      </w:r>
      <w:r w:rsidRPr="00E671AD">
        <w:rPr>
          <w:bCs/>
          <w:sz w:val="28"/>
          <w:szCs w:val="28"/>
          <w:lang w:val="uk-UA"/>
        </w:rPr>
        <w:t xml:space="preserve">грн., виконання становить </w:t>
      </w:r>
      <w:r w:rsidR="00E671AD" w:rsidRPr="00E671AD">
        <w:rPr>
          <w:bCs/>
          <w:sz w:val="28"/>
          <w:szCs w:val="28"/>
          <w:lang w:val="uk-UA"/>
        </w:rPr>
        <w:t>110,3</w:t>
      </w:r>
      <w:r w:rsidRPr="00E671AD">
        <w:rPr>
          <w:bCs/>
          <w:sz w:val="28"/>
          <w:szCs w:val="28"/>
          <w:lang w:val="uk-UA"/>
        </w:rPr>
        <w:t xml:space="preserve"> відсотка. </w:t>
      </w:r>
      <w:r w:rsidR="00E671AD" w:rsidRPr="00E671AD">
        <w:rPr>
          <w:bCs/>
          <w:sz w:val="28"/>
          <w:szCs w:val="28"/>
          <w:lang w:val="uk-UA"/>
        </w:rPr>
        <w:t>У</w:t>
      </w:r>
      <w:r w:rsidRPr="00E671AD">
        <w:rPr>
          <w:bCs/>
          <w:sz w:val="28"/>
          <w:szCs w:val="28"/>
          <w:lang w:val="uk-UA"/>
        </w:rPr>
        <w:t xml:space="preserve"> порівнянні з </w:t>
      </w:r>
      <w:r w:rsidR="00E671AD" w:rsidRPr="00E671AD">
        <w:rPr>
          <w:bCs/>
          <w:sz w:val="28"/>
          <w:szCs w:val="28"/>
          <w:lang w:val="uk-UA"/>
        </w:rPr>
        <w:t>2017</w:t>
      </w:r>
      <w:r w:rsidRPr="00E671AD">
        <w:rPr>
          <w:bCs/>
          <w:sz w:val="28"/>
          <w:szCs w:val="28"/>
          <w:lang w:val="uk-UA"/>
        </w:rPr>
        <w:t xml:space="preserve"> рок</w:t>
      </w:r>
      <w:r w:rsidR="00E671AD" w:rsidRPr="00E671AD">
        <w:rPr>
          <w:bCs/>
          <w:sz w:val="28"/>
          <w:szCs w:val="28"/>
          <w:lang w:val="uk-UA"/>
        </w:rPr>
        <w:t>ом</w:t>
      </w:r>
      <w:r w:rsidRPr="00E671AD">
        <w:rPr>
          <w:bCs/>
          <w:sz w:val="28"/>
          <w:szCs w:val="28"/>
          <w:lang w:val="uk-UA"/>
        </w:rPr>
        <w:t xml:space="preserve"> надходження збільшились на </w:t>
      </w:r>
      <w:r w:rsidR="00E671AD" w:rsidRPr="00E671AD">
        <w:rPr>
          <w:bCs/>
          <w:sz w:val="28"/>
          <w:szCs w:val="28"/>
          <w:lang w:val="uk-UA"/>
        </w:rPr>
        <w:t>24</w:t>
      </w:r>
      <w:r w:rsidRPr="00E671AD">
        <w:rPr>
          <w:bCs/>
          <w:sz w:val="28"/>
          <w:szCs w:val="28"/>
          <w:lang w:val="uk-UA"/>
        </w:rPr>
        <w:t xml:space="preserve"> </w:t>
      </w:r>
      <w:r w:rsidR="00E671AD" w:rsidRPr="00E671AD">
        <w:rPr>
          <w:bCs/>
          <w:sz w:val="28"/>
          <w:szCs w:val="28"/>
          <w:lang w:val="uk-UA"/>
        </w:rPr>
        <w:t xml:space="preserve">млн </w:t>
      </w:r>
      <w:r w:rsidRPr="00E671AD">
        <w:rPr>
          <w:bCs/>
          <w:sz w:val="28"/>
          <w:szCs w:val="28"/>
          <w:lang w:val="uk-UA"/>
        </w:rPr>
        <w:t>грн.</w:t>
      </w:r>
    </w:p>
    <w:p w:rsidR="005A074F" w:rsidRDefault="00183E22" w:rsidP="00183E22">
      <w:pPr>
        <w:pStyle w:val="af1"/>
        <w:ind w:left="0" w:firstLine="709"/>
        <w:jc w:val="both"/>
        <w:rPr>
          <w:bCs/>
          <w:sz w:val="28"/>
          <w:szCs w:val="28"/>
          <w:lang w:val="uk-UA"/>
        </w:rPr>
      </w:pPr>
      <w:r w:rsidRPr="005A074F">
        <w:rPr>
          <w:sz w:val="28"/>
          <w:szCs w:val="28"/>
          <w:lang w:val="uk-UA" w:eastAsia="uk-UA"/>
        </w:rPr>
        <w:t>Однак, проблемним залишається питання погашення податкового боргу</w:t>
      </w:r>
      <w:r w:rsidR="005A074F" w:rsidRPr="005A074F">
        <w:rPr>
          <w:sz w:val="28"/>
          <w:szCs w:val="28"/>
          <w:lang w:val="uk-UA" w:eastAsia="uk-UA"/>
        </w:rPr>
        <w:t xml:space="preserve"> до місцевого бюджету по м.Івано-Франківську</w:t>
      </w:r>
      <w:r w:rsidRPr="005A074F">
        <w:rPr>
          <w:sz w:val="28"/>
          <w:szCs w:val="28"/>
          <w:lang w:val="uk-UA" w:eastAsia="uk-UA"/>
        </w:rPr>
        <w:t xml:space="preserve">. </w:t>
      </w:r>
      <w:r w:rsidRPr="005A074F">
        <w:rPr>
          <w:bCs/>
          <w:sz w:val="28"/>
          <w:szCs w:val="28"/>
          <w:lang w:val="uk-UA"/>
        </w:rPr>
        <w:t>Станом на 01.</w:t>
      </w:r>
      <w:r w:rsidR="005A074F" w:rsidRPr="005A074F">
        <w:rPr>
          <w:bCs/>
          <w:sz w:val="28"/>
          <w:szCs w:val="28"/>
          <w:lang w:val="uk-UA"/>
        </w:rPr>
        <w:t>01</w:t>
      </w:r>
      <w:r w:rsidRPr="005A074F">
        <w:rPr>
          <w:bCs/>
          <w:sz w:val="28"/>
          <w:szCs w:val="28"/>
          <w:lang w:val="uk-UA"/>
        </w:rPr>
        <w:t>.201</w:t>
      </w:r>
      <w:r w:rsidR="005A074F" w:rsidRPr="005A074F">
        <w:rPr>
          <w:bCs/>
          <w:sz w:val="28"/>
          <w:szCs w:val="28"/>
          <w:lang w:val="uk-UA"/>
        </w:rPr>
        <w:t>9</w:t>
      </w:r>
      <w:r w:rsidRPr="005A074F">
        <w:rPr>
          <w:bCs/>
          <w:sz w:val="28"/>
          <w:szCs w:val="28"/>
          <w:lang w:val="uk-UA"/>
        </w:rPr>
        <w:t xml:space="preserve"> року податковий борг за податковими зобов'язаннями (без врахування боргу підприємств, щодо яких порушено провадження у справі про банкрутство або судом прийнято рішення про призупинення стягнення) до місцевого бюджету у порівнянні з 01.01.2018 роком зріс на </w:t>
      </w:r>
      <w:r w:rsidR="005A074F">
        <w:rPr>
          <w:bCs/>
          <w:sz w:val="28"/>
          <w:szCs w:val="28"/>
          <w:lang w:val="uk-UA"/>
        </w:rPr>
        <w:t>8,2</w:t>
      </w:r>
      <w:r w:rsidR="005A074F" w:rsidRPr="005A074F">
        <w:rPr>
          <w:bCs/>
          <w:sz w:val="28"/>
          <w:szCs w:val="28"/>
          <w:lang w:val="uk-UA"/>
        </w:rPr>
        <w:t xml:space="preserve"> млн грн</w:t>
      </w:r>
      <w:r w:rsidRPr="005A074F">
        <w:rPr>
          <w:bCs/>
          <w:sz w:val="28"/>
          <w:szCs w:val="28"/>
          <w:lang w:val="uk-UA"/>
        </w:rPr>
        <w:t xml:space="preserve"> і становив </w:t>
      </w:r>
      <w:r w:rsidR="005A074F" w:rsidRPr="005A074F">
        <w:rPr>
          <w:bCs/>
          <w:sz w:val="28"/>
          <w:szCs w:val="28"/>
          <w:lang w:val="uk-UA"/>
        </w:rPr>
        <w:t>53,2</w:t>
      </w:r>
      <w:r w:rsidRPr="005A074F">
        <w:rPr>
          <w:bCs/>
          <w:sz w:val="28"/>
          <w:szCs w:val="28"/>
          <w:lang w:val="uk-UA"/>
        </w:rPr>
        <w:t xml:space="preserve"> млн.грн.</w:t>
      </w:r>
      <w:r w:rsidR="00B053AC">
        <w:rPr>
          <w:bCs/>
          <w:sz w:val="28"/>
          <w:szCs w:val="28"/>
          <w:lang w:val="uk-UA"/>
        </w:rPr>
        <w:t>, з них</w:t>
      </w:r>
      <w:r w:rsidR="005A074F">
        <w:rPr>
          <w:bCs/>
          <w:sz w:val="28"/>
          <w:szCs w:val="28"/>
          <w:lang w:val="uk-UA"/>
        </w:rPr>
        <w:t xml:space="preserve"> 26,7 млн грн (50%) складає заборгованість зі сплати податку на майно (8,6 млн грн. – податок на нерухоме майно, 13,5 млн грн. – плата за землю з юридичних осіб, 3,3 млн грн. – </w:t>
      </w:r>
      <w:r w:rsidR="00B053AC">
        <w:rPr>
          <w:bCs/>
          <w:sz w:val="28"/>
          <w:szCs w:val="28"/>
          <w:lang w:val="uk-UA"/>
        </w:rPr>
        <w:t xml:space="preserve">плата за землю з фізичних осіб). Також на 7,3 млн грн зросла заборгованість по акцизному податку, в основному за рахунок несплати ТОВ "Вест Транс Компані") узгоджених грошових зобовʼязань, донарахованих за результатами перевірки. </w:t>
      </w:r>
      <w:r w:rsidRPr="005A074F">
        <w:rPr>
          <w:bCs/>
          <w:sz w:val="28"/>
          <w:szCs w:val="28"/>
          <w:lang w:val="uk-UA"/>
        </w:rPr>
        <w:t xml:space="preserve"> </w:t>
      </w:r>
    </w:p>
    <w:p w:rsidR="007911AE" w:rsidRDefault="007911AE" w:rsidP="00183E22">
      <w:pPr>
        <w:pStyle w:val="af1"/>
        <w:ind w:left="0" w:firstLine="709"/>
        <w:jc w:val="both"/>
        <w:rPr>
          <w:bCs/>
          <w:sz w:val="28"/>
          <w:szCs w:val="28"/>
          <w:lang w:val="uk-UA"/>
        </w:rPr>
      </w:pPr>
      <w:r>
        <w:rPr>
          <w:bCs/>
          <w:sz w:val="28"/>
          <w:szCs w:val="28"/>
          <w:lang w:val="uk-UA"/>
        </w:rPr>
        <w:t>У відповідності до вимог Податкового кодексу України платникам податків надіслано 2140 податкових вимог про необхідність погашення податкового боргу. До адміністративного суду направлено 11 адміністративних позовів щодо звернення стягнення на активи боржників – фізичних осіб через ДВС на суму 1,4 млн грн.; 23 звернення щодо надання дозволу на погашення податкового боргу на рахунок стягнення готівкових (безготівкових) коштів боржників на загальну суму 52,5 млн гр</w:t>
      </w:r>
      <w:r w:rsidR="00362BBC">
        <w:rPr>
          <w:bCs/>
          <w:sz w:val="28"/>
          <w:szCs w:val="28"/>
          <w:lang w:val="uk-UA"/>
        </w:rPr>
        <w:t>н; 4 звернення  щодо надання дозволу на погашення податкового боргу за рахунок заставленого майна боржників на суму 20 млн грн. З метою забезпечення виконання платниками податків своїх обовʼязків щодо сплати податків і зборів, майно боржників, в тому числі фізичних осіб, описано у податкову заставу загальною вартістю 114 млн грн., в тому числі у 2018 році – 44,5 млн грн.</w:t>
      </w:r>
    </w:p>
    <w:p w:rsidR="00183E22" w:rsidRDefault="00B053AC" w:rsidP="00183E22">
      <w:pPr>
        <w:pStyle w:val="af1"/>
        <w:ind w:left="0" w:firstLine="709"/>
        <w:jc w:val="both"/>
        <w:rPr>
          <w:bCs/>
          <w:sz w:val="28"/>
          <w:szCs w:val="28"/>
          <w:lang w:val="uk-UA"/>
        </w:rPr>
      </w:pPr>
      <w:r w:rsidRPr="007911AE">
        <w:rPr>
          <w:sz w:val="28"/>
          <w:szCs w:val="28"/>
          <w:lang w:val="uk-UA"/>
        </w:rPr>
        <w:t>В результаті в</w:t>
      </w:r>
      <w:r w:rsidR="00183E22" w:rsidRPr="007911AE">
        <w:rPr>
          <w:sz w:val="28"/>
          <w:szCs w:val="28"/>
          <w:lang w:val="uk-UA"/>
        </w:rPr>
        <w:t>жити</w:t>
      </w:r>
      <w:r w:rsidRPr="007911AE">
        <w:rPr>
          <w:sz w:val="28"/>
          <w:szCs w:val="28"/>
          <w:lang w:val="uk-UA"/>
        </w:rPr>
        <w:t>х</w:t>
      </w:r>
      <w:r w:rsidR="00183E22" w:rsidRPr="007911AE">
        <w:rPr>
          <w:sz w:val="28"/>
          <w:szCs w:val="28"/>
          <w:lang w:val="uk-UA"/>
        </w:rPr>
        <w:t xml:space="preserve"> заход</w:t>
      </w:r>
      <w:r w:rsidRPr="007911AE">
        <w:rPr>
          <w:sz w:val="28"/>
          <w:szCs w:val="28"/>
          <w:lang w:val="uk-UA"/>
        </w:rPr>
        <w:t>ів</w:t>
      </w:r>
      <w:r w:rsidR="00183E22" w:rsidRPr="007911AE">
        <w:rPr>
          <w:sz w:val="28"/>
          <w:szCs w:val="28"/>
          <w:lang w:val="uk-UA"/>
        </w:rPr>
        <w:t xml:space="preserve"> </w:t>
      </w:r>
      <w:r w:rsidRPr="007911AE">
        <w:rPr>
          <w:sz w:val="28"/>
          <w:szCs w:val="28"/>
          <w:lang w:val="uk-UA"/>
        </w:rPr>
        <w:t xml:space="preserve">із погашення податкового боргу </w:t>
      </w:r>
      <w:r w:rsidR="005A074F" w:rsidRPr="007911AE">
        <w:rPr>
          <w:sz w:val="28"/>
          <w:szCs w:val="28"/>
          <w:lang w:val="uk-UA"/>
        </w:rPr>
        <w:t>у</w:t>
      </w:r>
      <w:r w:rsidR="00183E22" w:rsidRPr="007911AE">
        <w:rPr>
          <w:sz w:val="28"/>
          <w:szCs w:val="28"/>
          <w:lang w:val="uk-UA"/>
        </w:rPr>
        <w:t xml:space="preserve"> 2018 ро</w:t>
      </w:r>
      <w:r w:rsidR="005A074F" w:rsidRPr="007911AE">
        <w:rPr>
          <w:sz w:val="28"/>
          <w:szCs w:val="28"/>
          <w:lang w:val="uk-UA"/>
        </w:rPr>
        <w:t>ці</w:t>
      </w:r>
      <w:r w:rsidR="00183E22" w:rsidRPr="007911AE">
        <w:rPr>
          <w:sz w:val="28"/>
          <w:szCs w:val="28"/>
          <w:lang w:val="uk-UA"/>
        </w:rPr>
        <w:t xml:space="preserve"> </w:t>
      </w:r>
      <w:r w:rsidR="007911AE" w:rsidRPr="007911AE">
        <w:rPr>
          <w:bCs/>
          <w:sz w:val="28"/>
          <w:szCs w:val="28"/>
          <w:lang w:val="uk-UA"/>
        </w:rPr>
        <w:t>до місцевого</w:t>
      </w:r>
      <w:r w:rsidR="00183E22" w:rsidRPr="007911AE">
        <w:rPr>
          <w:bCs/>
          <w:sz w:val="28"/>
          <w:szCs w:val="28"/>
          <w:lang w:val="uk-UA"/>
        </w:rPr>
        <w:t xml:space="preserve"> бюджету </w:t>
      </w:r>
      <w:r w:rsidR="007911AE" w:rsidRPr="007911AE">
        <w:rPr>
          <w:bCs/>
          <w:sz w:val="28"/>
          <w:szCs w:val="28"/>
          <w:lang w:val="uk-UA"/>
        </w:rPr>
        <w:t xml:space="preserve">надійшло 11,8 млн грн. </w:t>
      </w:r>
    </w:p>
    <w:p w:rsidR="00940748" w:rsidRPr="007911AE" w:rsidRDefault="00940748" w:rsidP="00183E22">
      <w:pPr>
        <w:pStyle w:val="af1"/>
        <w:ind w:left="0" w:firstLine="709"/>
        <w:jc w:val="both"/>
        <w:rPr>
          <w:bCs/>
          <w:sz w:val="28"/>
          <w:szCs w:val="28"/>
          <w:lang w:val="uk-UA"/>
        </w:rPr>
      </w:pPr>
    </w:p>
    <w:p w:rsidR="00183E22" w:rsidRPr="00720DC2" w:rsidRDefault="00183E22" w:rsidP="00183E22">
      <w:pPr>
        <w:pStyle w:val="af1"/>
        <w:numPr>
          <w:ilvl w:val="0"/>
          <w:numId w:val="2"/>
        </w:numPr>
        <w:jc w:val="both"/>
        <w:rPr>
          <w:b/>
          <w:bCs/>
          <w:i/>
          <w:sz w:val="28"/>
          <w:szCs w:val="28"/>
          <w:lang w:val="uk-UA"/>
        </w:rPr>
      </w:pPr>
      <w:r w:rsidRPr="00720DC2">
        <w:rPr>
          <w:b/>
          <w:bCs/>
          <w:i/>
          <w:sz w:val="28"/>
          <w:szCs w:val="28"/>
          <w:lang w:val="uk-UA"/>
        </w:rPr>
        <w:t>Розвиток реального сектору економіки</w:t>
      </w:r>
    </w:p>
    <w:p w:rsidR="00183E22" w:rsidRPr="00720DC2" w:rsidRDefault="00183E22" w:rsidP="00183E22">
      <w:pPr>
        <w:pStyle w:val="af1"/>
        <w:ind w:left="1065"/>
        <w:jc w:val="both"/>
        <w:rPr>
          <w:bCs/>
          <w:i/>
          <w:sz w:val="28"/>
          <w:szCs w:val="28"/>
          <w:highlight w:val="yellow"/>
          <w:lang w:val="uk-UA"/>
        </w:rPr>
      </w:pPr>
    </w:p>
    <w:p w:rsidR="00183E22" w:rsidRPr="0077091E" w:rsidRDefault="00183E22" w:rsidP="00183E22">
      <w:pPr>
        <w:jc w:val="both"/>
        <w:outlineLvl w:val="0"/>
        <w:rPr>
          <w:bCs/>
          <w:i/>
          <w:lang w:val="uk-UA"/>
        </w:rPr>
      </w:pPr>
      <w:r w:rsidRPr="0077091E">
        <w:rPr>
          <w:bCs/>
          <w:i/>
          <w:lang w:val="uk-UA"/>
        </w:rPr>
        <w:tab/>
        <w:t xml:space="preserve">2.1 Промисловий комплекс, інноваційний розвиток </w:t>
      </w:r>
    </w:p>
    <w:p w:rsidR="0077091E" w:rsidRPr="00661B15" w:rsidRDefault="0077091E" w:rsidP="0077091E">
      <w:pPr>
        <w:ind w:firstLine="708"/>
        <w:jc w:val="both"/>
        <w:outlineLvl w:val="0"/>
        <w:rPr>
          <w:lang w:val="uk-UA"/>
        </w:rPr>
      </w:pPr>
      <w:r w:rsidRPr="00661B15">
        <w:rPr>
          <w:lang w:val="uk-UA"/>
        </w:rPr>
        <w:t>Обсяг реалізованої продукції промисловими підприємствами основного кола за 2018 р</w:t>
      </w:r>
      <w:r w:rsidR="00FC5CCA" w:rsidRPr="00661B15">
        <w:rPr>
          <w:lang w:val="uk-UA"/>
        </w:rPr>
        <w:t>і</w:t>
      </w:r>
      <w:r w:rsidRPr="00661B15">
        <w:rPr>
          <w:lang w:val="uk-UA"/>
        </w:rPr>
        <w:t xml:space="preserve">к склав </w:t>
      </w:r>
      <w:r w:rsidR="00FC5CCA" w:rsidRPr="00661B15">
        <w:rPr>
          <w:lang w:val="uk-UA"/>
        </w:rPr>
        <w:t xml:space="preserve">13648,5 млн </w:t>
      </w:r>
      <w:r w:rsidRPr="00661B15">
        <w:rPr>
          <w:lang w:val="uk-UA"/>
        </w:rPr>
        <w:t>грн</w:t>
      </w:r>
      <w:r w:rsidR="00661B15" w:rsidRPr="00661B15">
        <w:rPr>
          <w:lang w:val="uk-UA"/>
        </w:rPr>
        <w:t xml:space="preserve"> проти 10919,1 млн </w:t>
      </w:r>
      <w:r w:rsidRPr="00661B15">
        <w:rPr>
          <w:lang w:val="uk-UA"/>
        </w:rPr>
        <w:t xml:space="preserve">грн за 2017 </w:t>
      </w:r>
      <w:r w:rsidR="00661B15" w:rsidRPr="00661B15">
        <w:rPr>
          <w:lang w:val="uk-UA"/>
        </w:rPr>
        <w:t>рік</w:t>
      </w:r>
      <w:r w:rsidRPr="00661B15">
        <w:rPr>
          <w:lang w:val="uk-UA"/>
        </w:rPr>
        <w:t xml:space="preserve">, </w:t>
      </w:r>
      <w:r w:rsidR="00661B15" w:rsidRPr="00661B15">
        <w:rPr>
          <w:lang w:val="uk-UA"/>
        </w:rPr>
        <w:t>темп росту становить 125</w:t>
      </w:r>
      <w:r w:rsidRPr="00661B15">
        <w:rPr>
          <w:lang w:val="uk-UA"/>
        </w:rPr>
        <w:t>%. Частка міста у загальнообласному обсязі реалізації склала 19,3%.</w:t>
      </w:r>
      <w:r w:rsidR="00661B15" w:rsidRPr="00661B15">
        <w:rPr>
          <w:color w:val="FF0000"/>
        </w:rPr>
        <w:t xml:space="preserve"> </w:t>
      </w:r>
      <w:r w:rsidR="00661B15" w:rsidRPr="00661B15">
        <w:t>У розрахунку на одну особу населення міста обсяг реалізованої промислов</w:t>
      </w:r>
      <w:r w:rsidR="008630A1">
        <w:t>ої продукції склав 32,1 тис.грн</w:t>
      </w:r>
      <w:r w:rsidR="00661B15" w:rsidRPr="00661B15">
        <w:t xml:space="preserve"> (в цілому по області – 33,2 тис.грн).</w:t>
      </w:r>
    </w:p>
    <w:p w:rsidR="0077091E" w:rsidRPr="00661B15" w:rsidRDefault="0077091E" w:rsidP="0077091E">
      <w:pPr>
        <w:ind w:firstLine="708"/>
        <w:jc w:val="both"/>
        <w:outlineLvl w:val="0"/>
      </w:pPr>
      <w:r w:rsidRPr="00661B15">
        <w:t xml:space="preserve">Частка обсягів реалізації підприємств переробної промисловості становить 51,6% в загальному обсязі реалізації. Найбільшу питому вагу у </w:t>
      </w:r>
      <w:r w:rsidRPr="00661B15">
        <w:lastRenderedPageBreak/>
        <w:t>структурі загального обсягу реалізації займали підприємства з постачання енергоносіїв (52,8%).</w:t>
      </w:r>
    </w:p>
    <w:p w:rsidR="0077091E" w:rsidRPr="008630A1" w:rsidRDefault="00A61001" w:rsidP="0077091E">
      <w:pPr>
        <w:ind w:firstLine="708"/>
        <w:jc w:val="both"/>
        <w:outlineLvl w:val="0"/>
        <w:rPr>
          <w:highlight w:val="yellow"/>
        </w:rPr>
      </w:pPr>
      <w:r>
        <w:rPr>
          <w:noProof/>
          <w:lang w:val="uk-UA" w:eastAsia="uk-UA"/>
        </w:rPr>
        <w:drawing>
          <wp:anchor distT="0" distB="0" distL="114300" distR="114300" simplePos="0" relativeHeight="251669504" behindDoc="0" locked="0" layoutInCell="1" allowOverlap="1" wp14:anchorId="4FE48197" wp14:editId="0C4C5D9E">
            <wp:simplePos x="0" y="0"/>
            <wp:positionH relativeFrom="column">
              <wp:posOffset>-179070</wp:posOffset>
            </wp:positionH>
            <wp:positionV relativeFrom="paragraph">
              <wp:posOffset>159385</wp:posOffset>
            </wp:positionV>
            <wp:extent cx="3187065" cy="2124710"/>
            <wp:effectExtent l="0" t="0" r="0" b="889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CD29F8">
        <w:rPr>
          <w:noProof/>
          <w:lang w:val="uk-UA" w:eastAsia="uk-UA"/>
        </w:rPr>
        <w:drawing>
          <wp:anchor distT="0" distB="0" distL="114300" distR="114300" simplePos="0" relativeHeight="251668480" behindDoc="0" locked="0" layoutInCell="1" allowOverlap="1" wp14:anchorId="4DB8AC92" wp14:editId="40C13A40">
            <wp:simplePos x="0" y="0"/>
            <wp:positionH relativeFrom="column">
              <wp:posOffset>3066415</wp:posOffset>
            </wp:positionH>
            <wp:positionV relativeFrom="paragraph">
              <wp:posOffset>158750</wp:posOffset>
            </wp:positionV>
            <wp:extent cx="3045460" cy="3470275"/>
            <wp:effectExtent l="0" t="0" r="21590" b="15875"/>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7091E" w:rsidRPr="008630A1">
        <w:t>В обсязі реалізованої продукції добувної та переробної промисловості за основними промисловими групами 64,8% займали споживчі товари короткострокового та тривалого використання, 18,6% – інвестиційні товари, 16,8% – товари проміжного споживання.</w:t>
      </w:r>
    </w:p>
    <w:p w:rsidR="0077091E" w:rsidRPr="008630A1" w:rsidRDefault="0077091E" w:rsidP="0077091E">
      <w:pPr>
        <w:ind w:firstLine="708"/>
        <w:jc w:val="both"/>
        <w:outlineLvl w:val="0"/>
      </w:pPr>
      <w:r w:rsidRPr="008630A1">
        <w:t xml:space="preserve">Значну питому вагу у структурі реалізації підприємств переробної галузі займають підприємства з виробництва харчових продуктів, напоїв та тютюнових виробів (17,8%), а також машинобудування і  виробництво металевих виробів (19,7%), виготовлення виробів з деревини, виробництво паперу </w:t>
      </w:r>
      <w:r w:rsidR="008630A1" w:rsidRPr="008630A1">
        <w:rPr>
          <w:lang w:val="uk-UA"/>
        </w:rPr>
        <w:t>(</w:t>
      </w:r>
      <w:r w:rsidR="008630A1" w:rsidRPr="008630A1">
        <w:t>2</w:t>
      </w:r>
      <w:r w:rsidRPr="008630A1">
        <w:t>%</w:t>
      </w:r>
      <w:r w:rsidR="008630A1" w:rsidRPr="008630A1">
        <w:rPr>
          <w:lang w:val="uk-UA"/>
        </w:rPr>
        <w:t>)</w:t>
      </w:r>
      <w:r w:rsidRPr="008630A1">
        <w:t xml:space="preserve">. </w:t>
      </w:r>
    </w:p>
    <w:p w:rsidR="0077091E" w:rsidRPr="00034747" w:rsidRDefault="0077091E" w:rsidP="0077091E">
      <w:pPr>
        <w:ind w:firstLine="708"/>
        <w:jc w:val="both"/>
        <w:outlineLvl w:val="0"/>
      </w:pPr>
      <w:r w:rsidRPr="00034747">
        <w:t xml:space="preserve">Обсяг реалізації продукції підприємств харчопереробної галузі промисловості складає </w:t>
      </w:r>
      <w:r w:rsidR="00DB7A8B" w:rsidRPr="00034747">
        <w:t>2430 млн</w:t>
      </w:r>
      <w:r w:rsidR="00DB7A8B" w:rsidRPr="00034747">
        <w:rPr>
          <w:lang w:val="uk-UA"/>
        </w:rPr>
        <w:t xml:space="preserve"> </w:t>
      </w:r>
      <w:r w:rsidR="00DB7A8B" w:rsidRPr="00034747">
        <w:t>грн проти 954,8 млн</w:t>
      </w:r>
      <w:r w:rsidR="00DB7A8B" w:rsidRPr="00034747">
        <w:rPr>
          <w:lang w:val="uk-UA"/>
        </w:rPr>
        <w:t xml:space="preserve"> </w:t>
      </w:r>
      <w:r w:rsidR="00DB7A8B" w:rsidRPr="00034747">
        <w:t>грн</w:t>
      </w:r>
      <w:r w:rsidRPr="00034747">
        <w:t xml:space="preserve">, що становить 254,5%. Значний ріст обсягів реалізації підприємств харчопереробної галузі  зумовлено зростанням обсягів виробництва та реалізації відповідно на таких бюджетоутворюючих харчопереробних підприємствах міста:  ТОВ </w:t>
      </w:r>
      <w:r w:rsidR="00F71172" w:rsidRPr="00034747">
        <w:t>"</w:t>
      </w:r>
      <w:r w:rsidRPr="00034747">
        <w:t>Імперово Фудз</w:t>
      </w:r>
      <w:r w:rsidR="00F71172" w:rsidRPr="00034747">
        <w:t>"</w:t>
      </w:r>
      <w:r w:rsidRPr="00034747">
        <w:t xml:space="preserve">, ТДВ </w:t>
      </w:r>
      <w:r w:rsidR="00F71172" w:rsidRPr="00034747">
        <w:t>"</w:t>
      </w:r>
      <w:r w:rsidRPr="00034747">
        <w:t>Івано-Франківський хлібокомбінат</w:t>
      </w:r>
      <w:r w:rsidR="00F71172" w:rsidRPr="00034747">
        <w:t>"</w:t>
      </w:r>
      <w:r w:rsidRPr="00034747">
        <w:t xml:space="preserve">. Підприємства ПАТ ВТКФ </w:t>
      </w:r>
      <w:r w:rsidR="00F71172" w:rsidRPr="00034747">
        <w:t>"</w:t>
      </w:r>
      <w:r w:rsidRPr="00034747">
        <w:t>Ласощі</w:t>
      </w:r>
      <w:r w:rsidR="00F71172" w:rsidRPr="00034747">
        <w:t>"</w:t>
      </w:r>
      <w:r w:rsidRPr="00034747">
        <w:t xml:space="preserve">, ТОВ </w:t>
      </w:r>
      <w:r w:rsidR="00F71172" w:rsidRPr="00034747">
        <w:t>"</w:t>
      </w:r>
      <w:r w:rsidRPr="00034747">
        <w:t>Лігос</w:t>
      </w:r>
      <w:r w:rsidR="00F71172" w:rsidRPr="00034747">
        <w:t>"</w:t>
      </w:r>
      <w:r w:rsidRPr="00034747">
        <w:t xml:space="preserve">, ПАТ </w:t>
      </w:r>
      <w:r w:rsidR="00F71172" w:rsidRPr="00034747">
        <w:t>"</w:t>
      </w:r>
      <w:r w:rsidRPr="00034747">
        <w:t>Івано-Франківська харчосмакова фабрика</w:t>
      </w:r>
      <w:r w:rsidR="00F71172" w:rsidRPr="00034747">
        <w:t>"</w:t>
      </w:r>
      <w:r w:rsidRPr="00034747">
        <w:t xml:space="preserve">, ТОВ </w:t>
      </w:r>
      <w:r w:rsidR="00F71172" w:rsidRPr="00034747">
        <w:t>"</w:t>
      </w:r>
      <w:r w:rsidRPr="00034747">
        <w:t>Залізнична пекарня.</w:t>
      </w:r>
    </w:p>
    <w:p w:rsidR="0077091E" w:rsidRPr="00034747" w:rsidRDefault="0077091E" w:rsidP="0077091E">
      <w:pPr>
        <w:shd w:val="clear" w:color="auto" w:fill="FFFFFF"/>
        <w:ind w:firstLine="708"/>
        <w:jc w:val="both"/>
        <w:outlineLvl w:val="0"/>
      </w:pPr>
      <w:r w:rsidRPr="00034747">
        <w:t xml:space="preserve">Спостерігається </w:t>
      </w:r>
      <w:r w:rsidR="00034747" w:rsidRPr="00034747">
        <w:rPr>
          <w:lang w:val="uk-UA"/>
        </w:rPr>
        <w:t>позитивна динаміка</w:t>
      </w:r>
      <w:r w:rsidRPr="00034747">
        <w:t xml:space="preserve"> р</w:t>
      </w:r>
      <w:r w:rsidR="00034747" w:rsidRPr="00034747">
        <w:rPr>
          <w:lang w:val="uk-UA"/>
        </w:rPr>
        <w:t>о</w:t>
      </w:r>
      <w:r w:rsidRPr="00034747">
        <w:t>с</w:t>
      </w:r>
      <w:r w:rsidR="00034747" w:rsidRPr="00034747">
        <w:rPr>
          <w:lang w:val="uk-UA"/>
        </w:rPr>
        <w:t>у</w:t>
      </w:r>
      <w:r w:rsidRPr="00034747">
        <w:t xml:space="preserve">т обсягів реалізації продукції машинобудівних підприємств та підприємств з виробництва металевих виробів. </w:t>
      </w:r>
      <w:r w:rsidR="00034747" w:rsidRPr="00034747">
        <w:rPr>
          <w:lang w:val="uk-UA"/>
        </w:rPr>
        <w:t>Темп росту</w:t>
      </w:r>
      <w:r w:rsidRPr="00034747">
        <w:t xml:space="preserve"> обсягів машинобудівних підприємств за </w:t>
      </w:r>
      <w:r w:rsidR="00034747" w:rsidRPr="00034747">
        <w:rPr>
          <w:lang w:val="uk-UA"/>
        </w:rPr>
        <w:t>звітний рік</w:t>
      </w:r>
      <w:r w:rsidRPr="00034747">
        <w:t xml:space="preserve"> станови</w:t>
      </w:r>
      <w:r w:rsidR="00034747" w:rsidRPr="00034747">
        <w:rPr>
          <w:lang w:val="uk-UA"/>
        </w:rPr>
        <w:t>в</w:t>
      </w:r>
      <w:r w:rsidRPr="00034747">
        <w:t xml:space="preserve"> 116,4%. Зокрема, обсяги реалізації цієї галузі за 2018 р</w:t>
      </w:r>
      <w:r w:rsidR="00034747" w:rsidRPr="00034747">
        <w:rPr>
          <w:lang w:val="uk-UA"/>
        </w:rPr>
        <w:t>і</w:t>
      </w:r>
      <w:r w:rsidRPr="00034747">
        <w:t>к</w:t>
      </w:r>
      <w:r w:rsidR="00034747" w:rsidRPr="00034747">
        <w:t xml:space="preserve"> склали 2684 млн</w:t>
      </w:r>
      <w:r w:rsidR="00034747" w:rsidRPr="00034747">
        <w:rPr>
          <w:lang w:val="uk-UA"/>
        </w:rPr>
        <w:t xml:space="preserve"> </w:t>
      </w:r>
      <w:r w:rsidR="00034747" w:rsidRPr="00034747">
        <w:t>грн</w:t>
      </w:r>
      <w:r w:rsidR="00034747" w:rsidRPr="00034747">
        <w:rPr>
          <w:lang w:val="uk-UA"/>
        </w:rPr>
        <w:t xml:space="preserve"> </w:t>
      </w:r>
      <w:r w:rsidR="00034747" w:rsidRPr="00034747">
        <w:t>проти 2305,1 млн</w:t>
      </w:r>
      <w:r w:rsidR="00034747" w:rsidRPr="00034747">
        <w:rPr>
          <w:lang w:val="uk-UA"/>
        </w:rPr>
        <w:t xml:space="preserve"> </w:t>
      </w:r>
      <w:r w:rsidRPr="00034747">
        <w:t xml:space="preserve">грн </w:t>
      </w:r>
      <w:r w:rsidR="00034747" w:rsidRPr="00034747">
        <w:rPr>
          <w:lang w:val="uk-UA"/>
        </w:rPr>
        <w:t>у попередньому</w:t>
      </w:r>
      <w:r w:rsidRPr="00034747">
        <w:t xml:space="preserve"> ро</w:t>
      </w:r>
      <w:r w:rsidR="00034747" w:rsidRPr="00034747">
        <w:rPr>
          <w:lang w:val="uk-UA"/>
        </w:rPr>
        <w:t>ці</w:t>
      </w:r>
      <w:r w:rsidRPr="00034747">
        <w:t xml:space="preserve">. Беззаперечними лідерами галузі є підприємства з іноземними інвестиціями: ТОВ </w:t>
      </w:r>
      <w:r w:rsidR="00F71172" w:rsidRPr="00034747">
        <w:t>"</w:t>
      </w:r>
      <w:r w:rsidRPr="00034747">
        <w:t>Тайко Електронікс Юкрейн Лімітед</w:t>
      </w:r>
      <w:r w:rsidR="00F71172" w:rsidRPr="00034747">
        <w:t>"</w:t>
      </w:r>
      <w:r w:rsidRPr="00034747">
        <w:t xml:space="preserve">, ДП ВО </w:t>
      </w:r>
      <w:r w:rsidR="00F71172" w:rsidRPr="00034747">
        <w:t>"</w:t>
      </w:r>
      <w:r w:rsidRPr="00034747">
        <w:t>Карпати</w:t>
      </w:r>
      <w:r w:rsidR="00F71172" w:rsidRPr="00034747">
        <w:t>"</w:t>
      </w:r>
      <w:r w:rsidRPr="00034747">
        <w:t xml:space="preserve">, ТОВ </w:t>
      </w:r>
      <w:r w:rsidR="00F71172" w:rsidRPr="00034747">
        <w:t>"</w:t>
      </w:r>
      <w:r w:rsidRPr="00034747">
        <w:t>Електролюкс Україна</w:t>
      </w:r>
      <w:r w:rsidR="00F71172" w:rsidRPr="00034747">
        <w:t>"</w:t>
      </w:r>
      <w:r w:rsidRPr="00034747">
        <w:t>.</w:t>
      </w:r>
    </w:p>
    <w:p w:rsidR="0077091E" w:rsidRPr="00034747" w:rsidRDefault="0077091E" w:rsidP="0077091E">
      <w:pPr>
        <w:shd w:val="clear" w:color="auto" w:fill="FFFFFF"/>
        <w:ind w:firstLine="708"/>
        <w:jc w:val="both"/>
        <w:outlineLvl w:val="0"/>
      </w:pPr>
      <w:r w:rsidRPr="00034747">
        <w:t>Підприємства, які спеціалізуються на виготовленні виробів з деревини, виробництва паперу та поліграфічної діяльності</w:t>
      </w:r>
      <w:r w:rsidR="00034747" w:rsidRPr="00034747">
        <w:rPr>
          <w:lang w:val="uk-UA"/>
        </w:rPr>
        <w:t>,</w:t>
      </w:r>
      <w:r w:rsidRPr="00034747">
        <w:t xml:space="preserve"> у 2018 році наростили обсяги реалізації у порівнянні з минул</w:t>
      </w:r>
      <w:r w:rsidR="00034747" w:rsidRPr="00034747">
        <w:rPr>
          <w:lang w:val="uk-UA"/>
        </w:rPr>
        <w:t>им</w:t>
      </w:r>
      <w:r w:rsidRPr="00034747">
        <w:t xml:space="preserve"> рок</w:t>
      </w:r>
      <w:r w:rsidR="00034747" w:rsidRPr="00034747">
        <w:rPr>
          <w:lang w:val="uk-UA"/>
        </w:rPr>
        <w:t>ом</w:t>
      </w:r>
      <w:r w:rsidRPr="00034747">
        <w:t xml:space="preserve"> на 26,1%, підприємства - виробники пластмасових і гумових виробів, іншої неметалевої мінеральної </w:t>
      </w:r>
      <w:r w:rsidRPr="00034747">
        <w:lastRenderedPageBreak/>
        <w:t>продукції  - на 35,2%. Зокрема, значно наростили обсяги реалізації продукції такі підприємства зазначених галузей</w:t>
      </w:r>
      <w:r w:rsidR="00034747" w:rsidRPr="00034747">
        <w:rPr>
          <w:lang w:val="uk-UA"/>
        </w:rPr>
        <w:t>,</w:t>
      </w:r>
      <w:r w:rsidRPr="00034747">
        <w:t xml:space="preserve"> як</w:t>
      </w:r>
      <w:r w:rsidR="00034747" w:rsidRPr="00034747">
        <w:rPr>
          <w:lang w:val="uk-UA"/>
        </w:rPr>
        <w:t>:</w:t>
      </w:r>
      <w:r w:rsidRPr="00034747">
        <w:t xml:space="preserve"> ТзОВ </w:t>
      </w:r>
      <w:r w:rsidR="00F71172" w:rsidRPr="00034747">
        <w:t>"</w:t>
      </w:r>
      <w:r w:rsidRPr="00034747">
        <w:t>Куверт-Україна</w:t>
      </w:r>
      <w:r w:rsidR="00F71172" w:rsidRPr="00034747">
        <w:t>"</w:t>
      </w:r>
      <w:r w:rsidRPr="00034747">
        <w:t xml:space="preserve">,  ТзОВ </w:t>
      </w:r>
      <w:r w:rsidR="00F71172" w:rsidRPr="00034747">
        <w:t>"</w:t>
      </w:r>
      <w:r w:rsidRPr="00034747">
        <w:t>Інтелком</w:t>
      </w:r>
      <w:r w:rsidR="00F71172" w:rsidRPr="00034747">
        <w:t>"</w:t>
      </w:r>
      <w:r w:rsidRPr="00034747">
        <w:t xml:space="preserve">.  </w:t>
      </w:r>
    </w:p>
    <w:p w:rsidR="00183E22" w:rsidRPr="00720DC2" w:rsidRDefault="0077091E" w:rsidP="0077091E">
      <w:pPr>
        <w:ind w:firstLine="709"/>
        <w:jc w:val="both"/>
        <w:rPr>
          <w:lang w:val="uk-UA"/>
        </w:rPr>
      </w:pPr>
      <w:r w:rsidRPr="00720DC2">
        <w:rPr>
          <w:lang w:val="uk-UA"/>
        </w:rPr>
        <w:t xml:space="preserve"> </w:t>
      </w:r>
      <w:r w:rsidR="00183E22" w:rsidRPr="00720DC2">
        <w:rPr>
          <w:lang w:val="uk-UA"/>
        </w:rPr>
        <w:t xml:space="preserve">З метою популяризації місцевої продукції та сприяння в реалізації місцевим товаровиробникам проводяться промоційні акції </w:t>
      </w:r>
      <w:r w:rsidR="00D4778A" w:rsidRPr="00720DC2">
        <w:rPr>
          <w:lang w:val="uk-UA"/>
        </w:rPr>
        <w:t>"</w:t>
      </w:r>
      <w:r w:rsidR="00183E22" w:rsidRPr="00720DC2">
        <w:rPr>
          <w:lang w:val="uk-UA"/>
        </w:rPr>
        <w:t>Купуємо івано-франківське – даємо роботу іванофранківцям</w:t>
      </w:r>
      <w:r w:rsidR="00D4778A" w:rsidRPr="00720DC2">
        <w:rPr>
          <w:lang w:val="uk-UA"/>
        </w:rPr>
        <w:t>"</w:t>
      </w:r>
      <w:r w:rsidR="00183E22" w:rsidRPr="00720DC2">
        <w:rPr>
          <w:lang w:val="uk-UA"/>
        </w:rPr>
        <w:t xml:space="preserve">, щорічні передсвяткові ярмарки, тематичні фестивалі тощо. </w:t>
      </w:r>
    </w:p>
    <w:p w:rsidR="00183E22" w:rsidRPr="00720DC2" w:rsidRDefault="00183E22" w:rsidP="00183E22">
      <w:pPr>
        <w:ind w:firstLine="709"/>
        <w:jc w:val="both"/>
        <w:rPr>
          <w:lang w:val="uk-UA"/>
        </w:rPr>
      </w:pPr>
      <w:r w:rsidRPr="00720DC2">
        <w:rPr>
          <w:lang w:val="uk-UA"/>
        </w:rPr>
        <w:t xml:space="preserve">Так, у квітні 2018 року було організовано та проведено традиційну акцію </w:t>
      </w:r>
      <w:r w:rsidR="00D4778A" w:rsidRPr="00720DC2">
        <w:rPr>
          <w:lang w:val="uk-UA"/>
        </w:rPr>
        <w:t>"</w:t>
      </w:r>
      <w:r w:rsidRPr="00720DC2">
        <w:rPr>
          <w:lang w:val="uk-UA"/>
        </w:rPr>
        <w:t>Купуємо івано-франківське – даємо роботу іванофранківцям</w:t>
      </w:r>
      <w:r w:rsidR="00D4778A" w:rsidRPr="00720DC2">
        <w:rPr>
          <w:lang w:val="uk-UA"/>
        </w:rPr>
        <w:t>"</w:t>
      </w:r>
      <w:r w:rsidRPr="00720DC2">
        <w:rPr>
          <w:lang w:val="uk-UA"/>
        </w:rPr>
        <w:t xml:space="preserve">. Учасниками акції були понад 20 суб’єктів господарювання - промислові </w:t>
      </w:r>
      <w:r w:rsidR="00E6292C" w:rsidRPr="00720DC2">
        <w:rPr>
          <w:lang w:val="uk-UA"/>
        </w:rPr>
        <w:t xml:space="preserve">підприємства Івано-Франківська, а </w:t>
      </w:r>
      <w:r w:rsidRPr="00720DC2">
        <w:rPr>
          <w:lang w:val="uk-UA"/>
        </w:rPr>
        <w:t>також місцеві підприємці – хлібопекарі.</w:t>
      </w:r>
      <w:r w:rsidR="004F1DFE" w:rsidRPr="00720DC2">
        <w:rPr>
          <w:lang w:val="uk-UA"/>
        </w:rPr>
        <w:t xml:space="preserve"> </w:t>
      </w:r>
      <w:r w:rsidRPr="00720DC2">
        <w:rPr>
          <w:lang w:val="uk-UA"/>
        </w:rPr>
        <w:t xml:space="preserve">Мешканці та гості міста мали змогу більш детально ознайомитися з напрямками виробничої діяльності </w:t>
      </w:r>
      <w:r w:rsidR="004F1DFE" w:rsidRPr="00720DC2">
        <w:rPr>
          <w:lang w:val="uk-UA"/>
        </w:rPr>
        <w:t>підприємств</w:t>
      </w:r>
      <w:r w:rsidRPr="00720DC2">
        <w:rPr>
          <w:lang w:val="uk-UA"/>
        </w:rPr>
        <w:t xml:space="preserve">. Під час акції </w:t>
      </w:r>
      <w:r w:rsidR="004F1DFE" w:rsidRPr="00720DC2">
        <w:rPr>
          <w:lang w:val="uk-UA"/>
        </w:rPr>
        <w:t>проведено</w:t>
      </w:r>
      <w:r w:rsidRPr="00720DC2">
        <w:rPr>
          <w:lang w:val="uk-UA"/>
        </w:rPr>
        <w:t xml:space="preserve"> конкурси на </w:t>
      </w:r>
      <w:r w:rsidR="004F1DFE" w:rsidRPr="00720DC2">
        <w:rPr>
          <w:lang w:val="uk-UA"/>
        </w:rPr>
        <w:t>в</w:t>
      </w:r>
      <w:r w:rsidRPr="00720DC2">
        <w:rPr>
          <w:lang w:val="uk-UA"/>
        </w:rPr>
        <w:t xml:space="preserve">еликодню тематику: </w:t>
      </w:r>
      <w:r w:rsidR="00387E15" w:rsidRPr="00720DC2">
        <w:rPr>
          <w:lang w:val="uk-UA"/>
        </w:rPr>
        <w:t>"К</w:t>
      </w:r>
      <w:r w:rsidRPr="00720DC2">
        <w:rPr>
          <w:lang w:val="uk-UA"/>
        </w:rPr>
        <w:t>раща паска</w:t>
      </w:r>
      <w:r w:rsidR="00387E15" w:rsidRPr="00720DC2">
        <w:rPr>
          <w:lang w:val="uk-UA"/>
        </w:rPr>
        <w:t>"</w:t>
      </w:r>
      <w:r w:rsidRPr="00720DC2">
        <w:rPr>
          <w:lang w:val="uk-UA"/>
        </w:rPr>
        <w:t xml:space="preserve"> (переможець – ТОВ </w:t>
      </w:r>
      <w:r w:rsidR="00D4778A" w:rsidRPr="00720DC2">
        <w:rPr>
          <w:lang w:val="uk-UA"/>
        </w:rPr>
        <w:t>"</w:t>
      </w:r>
      <w:r w:rsidRPr="00720DC2">
        <w:rPr>
          <w:lang w:val="uk-UA"/>
        </w:rPr>
        <w:t>Надія</w:t>
      </w:r>
      <w:r w:rsidR="00D4778A" w:rsidRPr="00720DC2">
        <w:rPr>
          <w:lang w:val="uk-UA"/>
        </w:rPr>
        <w:t>"</w:t>
      </w:r>
      <w:r w:rsidRPr="00720DC2">
        <w:rPr>
          <w:lang w:val="uk-UA"/>
        </w:rPr>
        <w:t xml:space="preserve">), </w:t>
      </w:r>
      <w:r w:rsidR="00387E15" w:rsidRPr="00720DC2">
        <w:rPr>
          <w:lang w:val="uk-UA"/>
        </w:rPr>
        <w:t>"К</w:t>
      </w:r>
      <w:r w:rsidRPr="00720DC2">
        <w:rPr>
          <w:lang w:val="uk-UA"/>
        </w:rPr>
        <w:t>раща писанка</w:t>
      </w:r>
      <w:r w:rsidR="00387E15" w:rsidRPr="00720DC2">
        <w:rPr>
          <w:lang w:val="uk-UA"/>
        </w:rPr>
        <w:t>"</w:t>
      </w:r>
      <w:r w:rsidRPr="00720DC2">
        <w:rPr>
          <w:lang w:val="uk-UA"/>
        </w:rPr>
        <w:t xml:space="preserve"> (ПП Федик Н.Р.), </w:t>
      </w:r>
      <w:r w:rsidR="00387E15" w:rsidRPr="00720DC2">
        <w:rPr>
          <w:lang w:val="uk-UA"/>
        </w:rPr>
        <w:t>"К</w:t>
      </w:r>
      <w:r w:rsidRPr="00720DC2">
        <w:rPr>
          <w:lang w:val="uk-UA"/>
        </w:rPr>
        <w:t>ращий великодній кошик</w:t>
      </w:r>
      <w:r w:rsidR="00387E15" w:rsidRPr="00720DC2">
        <w:rPr>
          <w:lang w:val="uk-UA"/>
        </w:rPr>
        <w:t>"</w:t>
      </w:r>
      <w:r w:rsidRPr="00720DC2">
        <w:rPr>
          <w:lang w:val="uk-UA"/>
        </w:rPr>
        <w:t xml:space="preserve"> (ПАТ </w:t>
      </w:r>
      <w:r w:rsidR="00D4778A" w:rsidRPr="00720DC2">
        <w:rPr>
          <w:lang w:val="uk-UA"/>
        </w:rPr>
        <w:t>"</w:t>
      </w:r>
      <w:r w:rsidRPr="00720DC2">
        <w:rPr>
          <w:lang w:val="uk-UA"/>
        </w:rPr>
        <w:t>Івано-Франківська харчосмакова фабрика</w:t>
      </w:r>
      <w:r w:rsidR="00D4778A" w:rsidRPr="00720DC2">
        <w:rPr>
          <w:lang w:val="uk-UA"/>
        </w:rPr>
        <w:t>"</w:t>
      </w:r>
      <w:r w:rsidRPr="00720DC2">
        <w:rPr>
          <w:lang w:val="uk-UA"/>
        </w:rPr>
        <w:t xml:space="preserve">), </w:t>
      </w:r>
      <w:r w:rsidR="00387E15" w:rsidRPr="00720DC2">
        <w:rPr>
          <w:lang w:val="uk-UA"/>
        </w:rPr>
        <w:t>"К</w:t>
      </w:r>
      <w:r w:rsidRPr="00720DC2">
        <w:rPr>
          <w:lang w:val="uk-UA"/>
        </w:rPr>
        <w:t>ращий кондитерський виріб</w:t>
      </w:r>
      <w:r w:rsidR="00387E15" w:rsidRPr="00720DC2">
        <w:rPr>
          <w:lang w:val="uk-UA"/>
        </w:rPr>
        <w:t>"</w:t>
      </w:r>
      <w:r w:rsidRPr="00720DC2">
        <w:rPr>
          <w:lang w:val="uk-UA"/>
        </w:rPr>
        <w:t xml:space="preserve"> (ТДВ </w:t>
      </w:r>
      <w:r w:rsidR="00D4778A" w:rsidRPr="00720DC2">
        <w:rPr>
          <w:lang w:val="uk-UA"/>
        </w:rPr>
        <w:t>"</w:t>
      </w:r>
      <w:r w:rsidRPr="00720DC2">
        <w:rPr>
          <w:lang w:val="uk-UA"/>
        </w:rPr>
        <w:t>Івано-Франківський хлібокомбінат</w:t>
      </w:r>
      <w:r w:rsidR="00D4778A" w:rsidRPr="00720DC2">
        <w:rPr>
          <w:lang w:val="uk-UA"/>
        </w:rPr>
        <w:t>"</w:t>
      </w:r>
      <w:r w:rsidRPr="00720DC2">
        <w:rPr>
          <w:lang w:val="uk-UA"/>
        </w:rPr>
        <w:t xml:space="preserve">) та </w:t>
      </w:r>
      <w:r w:rsidR="00387E15" w:rsidRPr="00720DC2">
        <w:rPr>
          <w:lang w:val="uk-UA"/>
        </w:rPr>
        <w:t>"К</w:t>
      </w:r>
      <w:r w:rsidRPr="00720DC2">
        <w:rPr>
          <w:lang w:val="uk-UA"/>
        </w:rPr>
        <w:t>ращий м’ясний смаколик</w:t>
      </w:r>
      <w:r w:rsidR="00387E15" w:rsidRPr="00720DC2">
        <w:rPr>
          <w:lang w:val="uk-UA"/>
        </w:rPr>
        <w:t>"</w:t>
      </w:r>
      <w:r w:rsidRPr="00720DC2">
        <w:rPr>
          <w:lang w:val="uk-UA"/>
        </w:rPr>
        <w:t xml:space="preserve"> (ПП Дорожівський Ю.І.). </w:t>
      </w:r>
    </w:p>
    <w:p w:rsidR="00183E22" w:rsidRPr="00720DC2" w:rsidRDefault="00183E22" w:rsidP="00183E22">
      <w:pPr>
        <w:ind w:firstLine="709"/>
        <w:jc w:val="both"/>
        <w:rPr>
          <w:lang w:val="uk-UA"/>
        </w:rPr>
      </w:pPr>
      <w:r w:rsidRPr="00720DC2">
        <w:rPr>
          <w:lang w:val="uk-UA"/>
        </w:rPr>
        <w:t xml:space="preserve">У серпні – вересні </w:t>
      </w:r>
      <w:r w:rsidR="0077465B">
        <w:rPr>
          <w:lang w:val="uk-UA"/>
        </w:rPr>
        <w:t>2018</w:t>
      </w:r>
      <w:r w:rsidRPr="00720DC2">
        <w:rPr>
          <w:lang w:val="uk-UA"/>
        </w:rPr>
        <w:t xml:space="preserve"> року організовано та проведено тематичні фестивалі </w:t>
      </w:r>
      <w:r w:rsidR="00D4778A" w:rsidRPr="00720DC2">
        <w:rPr>
          <w:lang w:val="uk-UA"/>
        </w:rPr>
        <w:t>"</w:t>
      </w:r>
      <w:r w:rsidRPr="00720DC2">
        <w:rPr>
          <w:lang w:val="uk-UA"/>
        </w:rPr>
        <w:t>Свято винограду та вина</w:t>
      </w:r>
      <w:r w:rsidR="00D4778A" w:rsidRPr="00720DC2">
        <w:rPr>
          <w:lang w:val="uk-UA"/>
        </w:rPr>
        <w:t>"</w:t>
      </w:r>
      <w:r w:rsidRPr="00720DC2">
        <w:rPr>
          <w:lang w:val="uk-UA"/>
        </w:rPr>
        <w:t xml:space="preserve"> і </w:t>
      </w:r>
      <w:r w:rsidR="00D4778A" w:rsidRPr="00720DC2">
        <w:rPr>
          <w:lang w:val="uk-UA"/>
        </w:rPr>
        <w:t>"</w:t>
      </w:r>
      <w:r w:rsidRPr="00720DC2">
        <w:rPr>
          <w:lang w:val="uk-UA"/>
        </w:rPr>
        <w:t>Свято хліба</w:t>
      </w:r>
      <w:r w:rsidR="00D4778A" w:rsidRPr="00720DC2">
        <w:rPr>
          <w:lang w:val="uk-UA"/>
        </w:rPr>
        <w:t>"</w:t>
      </w:r>
      <w:r w:rsidRPr="00720DC2">
        <w:rPr>
          <w:lang w:val="uk-UA"/>
        </w:rPr>
        <w:t>. Фестивалі проведено за участю понад 50-ти місцевих виробників та підприємців - хлібопекарів регіону.</w:t>
      </w:r>
    </w:p>
    <w:p w:rsidR="00183E22" w:rsidRPr="00720DC2" w:rsidRDefault="00183E22" w:rsidP="00183E22">
      <w:pPr>
        <w:ind w:firstLine="708"/>
        <w:jc w:val="both"/>
        <w:rPr>
          <w:rFonts w:eastAsia="Times New Roman" w:cs="Arial"/>
          <w:color w:val="000000"/>
          <w:shd w:val="clear" w:color="auto" w:fill="FFFFFF"/>
          <w:lang w:val="uk-UA" w:eastAsia="ru-RU"/>
        </w:rPr>
      </w:pPr>
      <w:r w:rsidRPr="00720DC2">
        <w:rPr>
          <w:rFonts w:eastAsia="Times New Roman" w:cs="Arial"/>
          <w:color w:val="000000"/>
          <w:shd w:val="clear" w:color="auto" w:fill="FFFFFF"/>
          <w:lang w:val="uk-UA" w:eastAsia="ru-RU"/>
        </w:rPr>
        <w:t xml:space="preserve">Одним із шляхів забезпечення ефективного діалогу міської влади та бізнесу є </w:t>
      </w:r>
      <w:r w:rsidR="0077465B">
        <w:rPr>
          <w:rFonts w:eastAsia="Times New Roman" w:cs="Arial"/>
          <w:color w:val="000000"/>
          <w:shd w:val="clear" w:color="auto" w:fill="FFFFFF"/>
          <w:lang w:val="uk-UA" w:eastAsia="ru-RU"/>
        </w:rPr>
        <w:t xml:space="preserve">діяльність </w:t>
      </w:r>
      <w:r w:rsidRPr="00720DC2">
        <w:rPr>
          <w:rFonts w:eastAsia="Times New Roman" w:cs="Arial"/>
          <w:color w:val="000000"/>
          <w:shd w:val="clear" w:color="auto" w:fill="FFFFFF"/>
          <w:lang w:val="uk-UA" w:eastAsia="ru-RU"/>
        </w:rPr>
        <w:t>Дорадч</w:t>
      </w:r>
      <w:r w:rsidR="0077465B">
        <w:rPr>
          <w:rFonts w:eastAsia="Times New Roman" w:cs="Arial"/>
          <w:color w:val="000000"/>
          <w:shd w:val="clear" w:color="auto" w:fill="FFFFFF"/>
          <w:lang w:val="uk-UA" w:eastAsia="ru-RU"/>
        </w:rPr>
        <w:t>ої</w:t>
      </w:r>
      <w:r w:rsidRPr="00720DC2">
        <w:rPr>
          <w:rFonts w:eastAsia="Times New Roman" w:cs="Arial"/>
          <w:color w:val="000000"/>
          <w:shd w:val="clear" w:color="auto" w:fill="FFFFFF"/>
          <w:lang w:val="uk-UA" w:eastAsia="ru-RU"/>
        </w:rPr>
        <w:t xml:space="preserve"> рад</w:t>
      </w:r>
      <w:r w:rsidR="0077465B">
        <w:rPr>
          <w:rFonts w:eastAsia="Times New Roman" w:cs="Arial"/>
          <w:color w:val="000000"/>
          <w:shd w:val="clear" w:color="auto" w:fill="FFFFFF"/>
          <w:lang w:val="uk-UA" w:eastAsia="ru-RU"/>
        </w:rPr>
        <w:t>и</w:t>
      </w:r>
      <w:r w:rsidRPr="00720DC2">
        <w:rPr>
          <w:rFonts w:eastAsia="Times New Roman" w:cs="Arial"/>
          <w:color w:val="000000"/>
          <w:shd w:val="clear" w:color="auto" w:fill="FFFFFF"/>
          <w:lang w:val="uk-UA" w:eastAsia="ru-RU"/>
        </w:rPr>
        <w:t xml:space="preserve"> при міському голові, на засіданнях якої обговорюються актуальні проблемні питання підприємств, </w:t>
      </w:r>
      <w:r w:rsidR="000A62BB" w:rsidRPr="00720DC2">
        <w:rPr>
          <w:lang w:val="uk-UA"/>
        </w:rPr>
        <w:t>презентації інноваційної продукції, шлях</w:t>
      </w:r>
      <w:r w:rsidR="0077465B">
        <w:rPr>
          <w:lang w:val="uk-UA"/>
        </w:rPr>
        <w:t>и</w:t>
      </w:r>
      <w:r w:rsidR="000A62BB" w:rsidRPr="00720DC2">
        <w:rPr>
          <w:lang w:val="uk-UA"/>
        </w:rPr>
        <w:t xml:space="preserve"> покращення співпраці місцевих виробників з торговими мережами міста та залучення місцевих харчопереробних підприємств до участі у тендерах на харчування у дошкільних, шкільних та інших закладах освіти міста</w:t>
      </w:r>
      <w:r w:rsidRPr="00720DC2">
        <w:rPr>
          <w:rFonts w:eastAsia="Times New Roman" w:cs="Arial"/>
          <w:color w:val="000000"/>
          <w:shd w:val="clear" w:color="auto" w:fill="FFFFFF"/>
          <w:lang w:val="uk-UA" w:eastAsia="ru-RU"/>
        </w:rPr>
        <w:t xml:space="preserve"> тощо.</w:t>
      </w:r>
      <w:r w:rsidRPr="00720DC2">
        <w:rPr>
          <w:rFonts w:eastAsia="Times New Roman" w:cs="Arial"/>
          <w:color w:val="000000"/>
          <w:shd w:val="clear" w:color="auto" w:fill="FFFFFF"/>
          <w:lang w:val="uk-UA" w:eastAsia="ru-RU"/>
        </w:rPr>
        <w:tab/>
      </w:r>
    </w:p>
    <w:p w:rsidR="00183E22" w:rsidRPr="00720DC2" w:rsidRDefault="00387E15" w:rsidP="00183E22">
      <w:pPr>
        <w:ind w:firstLine="700"/>
        <w:jc w:val="both"/>
        <w:outlineLvl w:val="0"/>
        <w:rPr>
          <w:rStyle w:val="a9"/>
          <w:b w:val="0"/>
          <w:lang w:val="uk-UA"/>
        </w:rPr>
      </w:pPr>
      <w:r w:rsidRPr="00720DC2">
        <w:rPr>
          <w:lang w:val="uk-UA"/>
        </w:rPr>
        <w:t>У квітні о</w:t>
      </w:r>
      <w:r w:rsidR="00183E22" w:rsidRPr="00720DC2">
        <w:rPr>
          <w:lang w:val="uk-UA"/>
        </w:rPr>
        <w:t xml:space="preserve">рганізовано та проведено 15-ту церемонію нагородження переможців акції вшанування лідерів економічного розвитку </w:t>
      </w:r>
      <w:r w:rsidR="00D4778A" w:rsidRPr="00720DC2">
        <w:rPr>
          <w:lang w:val="uk-UA"/>
        </w:rPr>
        <w:t>"</w:t>
      </w:r>
      <w:r w:rsidR="00183E22" w:rsidRPr="00720DC2">
        <w:rPr>
          <w:lang w:val="uk-UA"/>
        </w:rPr>
        <w:t>Тріумф-2017</w:t>
      </w:r>
      <w:r w:rsidR="00D4778A" w:rsidRPr="00720DC2">
        <w:rPr>
          <w:lang w:val="uk-UA"/>
        </w:rPr>
        <w:t>"</w:t>
      </w:r>
      <w:r w:rsidR="00183E22" w:rsidRPr="00720DC2">
        <w:rPr>
          <w:lang w:val="uk-UA"/>
        </w:rPr>
        <w:t>. Акцію  проведено з метою визначення найуспішніших суб'єктів господарської діяльності</w:t>
      </w:r>
      <w:r w:rsidR="00183E22" w:rsidRPr="00720DC2">
        <w:rPr>
          <w:shd w:val="clear" w:color="auto" w:fill="FFFFFF"/>
          <w:lang w:val="uk-UA"/>
        </w:rPr>
        <w:t xml:space="preserve"> та ознайомлення громади міста з їх</w:t>
      </w:r>
      <w:r w:rsidRPr="00720DC2">
        <w:rPr>
          <w:shd w:val="clear" w:color="auto" w:fill="FFFFFF"/>
          <w:lang w:val="uk-UA"/>
        </w:rPr>
        <w:t>німи</w:t>
      </w:r>
      <w:r w:rsidR="00183E22" w:rsidRPr="00720DC2">
        <w:rPr>
          <w:shd w:val="clear" w:color="auto" w:fill="FFFFFF"/>
          <w:lang w:val="uk-UA"/>
        </w:rPr>
        <w:t xml:space="preserve"> здобутками</w:t>
      </w:r>
      <w:r w:rsidR="00183E22" w:rsidRPr="00720DC2">
        <w:rPr>
          <w:lang w:val="uk-UA"/>
        </w:rPr>
        <w:t>. Переможців визначено у 12 номінаціях. Серед вже тра</w:t>
      </w:r>
      <w:r w:rsidR="005D719D" w:rsidRPr="00720DC2">
        <w:rPr>
          <w:lang w:val="uk-UA"/>
        </w:rPr>
        <w:t xml:space="preserve">диційних номінацій: </w:t>
      </w:r>
      <w:r w:rsidR="00D4778A" w:rsidRPr="00720DC2">
        <w:rPr>
          <w:lang w:val="uk-UA"/>
        </w:rPr>
        <w:t>"</w:t>
      </w:r>
      <w:r w:rsidR="00183E22" w:rsidRPr="00720DC2">
        <w:rPr>
          <w:rStyle w:val="af2"/>
          <w:bCs/>
          <w:i w:val="0"/>
          <w:lang w:val="uk-UA"/>
        </w:rPr>
        <w:t>Найбільший платник податків до місцевого бюджету у 2017 році</w:t>
      </w:r>
      <w:r w:rsidR="00D4778A" w:rsidRPr="00720DC2">
        <w:rPr>
          <w:lang w:val="uk-UA"/>
        </w:rPr>
        <w:t>"</w:t>
      </w:r>
      <w:r w:rsidR="00183E22" w:rsidRPr="00720DC2">
        <w:rPr>
          <w:lang w:val="uk-UA"/>
        </w:rPr>
        <w:t xml:space="preserve">, </w:t>
      </w:r>
      <w:r w:rsidR="00D4778A" w:rsidRPr="00720DC2">
        <w:rPr>
          <w:lang w:val="uk-UA"/>
        </w:rPr>
        <w:t>"</w:t>
      </w:r>
      <w:r w:rsidR="00183E22" w:rsidRPr="00720DC2">
        <w:rPr>
          <w:rStyle w:val="af2"/>
          <w:bCs/>
          <w:i w:val="0"/>
          <w:lang w:val="uk-UA"/>
        </w:rPr>
        <w:t>Краще підприємство-експортер</w:t>
      </w:r>
      <w:r w:rsidR="00D4778A" w:rsidRPr="00720DC2">
        <w:rPr>
          <w:rStyle w:val="af2"/>
          <w:bCs/>
          <w:i w:val="0"/>
          <w:lang w:val="uk-UA"/>
        </w:rPr>
        <w:t>"</w:t>
      </w:r>
      <w:r w:rsidR="00183E22" w:rsidRPr="00720DC2">
        <w:rPr>
          <w:rStyle w:val="af2"/>
          <w:bCs/>
          <w:i w:val="0"/>
          <w:lang w:val="uk-UA"/>
        </w:rPr>
        <w:t xml:space="preserve"> та </w:t>
      </w:r>
      <w:r w:rsidR="00D4778A" w:rsidRPr="00720DC2">
        <w:rPr>
          <w:rStyle w:val="af2"/>
          <w:bCs/>
          <w:i w:val="0"/>
          <w:lang w:val="uk-UA"/>
        </w:rPr>
        <w:t>"</w:t>
      </w:r>
      <w:r w:rsidR="00183E22" w:rsidRPr="00720DC2">
        <w:rPr>
          <w:rStyle w:val="af2"/>
          <w:bCs/>
          <w:i w:val="0"/>
          <w:lang w:val="uk-UA"/>
        </w:rPr>
        <w:t>Соціально-відповідальне підприємство</w:t>
      </w:r>
      <w:r w:rsidR="00D4778A" w:rsidRPr="00720DC2">
        <w:rPr>
          <w:lang w:val="uk-UA"/>
        </w:rPr>
        <w:t>"</w:t>
      </w:r>
      <w:r w:rsidR="00183E22" w:rsidRPr="00720DC2">
        <w:rPr>
          <w:i/>
          <w:lang w:val="uk-UA"/>
        </w:rPr>
        <w:t xml:space="preserve">, </w:t>
      </w:r>
      <w:r w:rsidR="00183E22" w:rsidRPr="00720DC2">
        <w:rPr>
          <w:lang w:val="uk-UA"/>
        </w:rPr>
        <w:t>було чимало нових номінацій, зокрема:</w:t>
      </w:r>
      <w:r w:rsidR="00183E22" w:rsidRPr="00720DC2">
        <w:rPr>
          <w:i/>
          <w:lang w:val="uk-UA"/>
        </w:rPr>
        <w:t xml:space="preserve"> </w:t>
      </w:r>
      <w:r w:rsidR="00D4778A" w:rsidRPr="00720DC2">
        <w:rPr>
          <w:lang w:val="uk-UA"/>
        </w:rPr>
        <w:t>"</w:t>
      </w:r>
      <w:r w:rsidR="00183E22" w:rsidRPr="00720DC2">
        <w:rPr>
          <w:rStyle w:val="af2"/>
          <w:bCs/>
          <w:i w:val="0"/>
          <w:lang w:val="uk-UA"/>
        </w:rPr>
        <w:t>Лідер впровадження енергоощадних технологій у 2017 році</w:t>
      </w:r>
      <w:r w:rsidR="00D4778A" w:rsidRPr="00720DC2">
        <w:rPr>
          <w:rStyle w:val="a9"/>
          <w:b w:val="0"/>
          <w:lang w:val="uk-UA"/>
        </w:rPr>
        <w:t>"</w:t>
      </w:r>
      <w:r w:rsidR="00183E22" w:rsidRPr="00720DC2">
        <w:rPr>
          <w:i/>
          <w:lang w:val="uk-UA"/>
        </w:rPr>
        <w:t xml:space="preserve">, </w:t>
      </w:r>
      <w:r w:rsidR="00D4778A" w:rsidRPr="00720DC2">
        <w:rPr>
          <w:lang w:val="uk-UA"/>
        </w:rPr>
        <w:t>"</w:t>
      </w:r>
      <w:r w:rsidR="00183E22" w:rsidRPr="00720DC2">
        <w:rPr>
          <w:rStyle w:val="af2"/>
          <w:bCs/>
          <w:i w:val="0"/>
          <w:lang w:val="uk-UA"/>
        </w:rPr>
        <w:t>Краща кав’ярня року</w:t>
      </w:r>
      <w:r w:rsidR="00D4778A" w:rsidRPr="00720DC2">
        <w:rPr>
          <w:lang w:val="uk-UA"/>
        </w:rPr>
        <w:t>"</w:t>
      </w:r>
      <w:r w:rsidR="00183E22" w:rsidRPr="00720DC2">
        <w:rPr>
          <w:i/>
          <w:lang w:val="uk-UA"/>
        </w:rPr>
        <w:t xml:space="preserve">, </w:t>
      </w:r>
      <w:r w:rsidR="00D4778A" w:rsidRPr="00720DC2">
        <w:rPr>
          <w:lang w:val="uk-UA"/>
        </w:rPr>
        <w:t>"</w:t>
      </w:r>
      <w:r w:rsidR="00183E22" w:rsidRPr="00720DC2">
        <w:rPr>
          <w:rStyle w:val="af2"/>
          <w:bCs/>
          <w:i w:val="0"/>
          <w:lang w:val="uk-UA"/>
        </w:rPr>
        <w:t>Кращий салон краси року</w:t>
      </w:r>
      <w:r w:rsidR="00D4778A" w:rsidRPr="00720DC2">
        <w:rPr>
          <w:lang w:val="uk-UA"/>
        </w:rPr>
        <w:t>"</w:t>
      </w:r>
      <w:r w:rsidR="00183E22" w:rsidRPr="00720DC2">
        <w:rPr>
          <w:i/>
          <w:lang w:val="uk-UA"/>
        </w:rPr>
        <w:t xml:space="preserve">, </w:t>
      </w:r>
      <w:r w:rsidR="00D4778A" w:rsidRPr="00720DC2">
        <w:rPr>
          <w:lang w:val="uk-UA"/>
        </w:rPr>
        <w:t>"</w:t>
      </w:r>
      <w:r w:rsidR="00183E22" w:rsidRPr="00720DC2">
        <w:rPr>
          <w:rStyle w:val="af2"/>
          <w:bCs/>
          <w:i w:val="0"/>
          <w:lang w:val="uk-UA"/>
        </w:rPr>
        <w:t>Кращий готель-мотель</w:t>
      </w:r>
      <w:r w:rsidR="00D4778A" w:rsidRPr="00720DC2">
        <w:rPr>
          <w:lang w:val="uk-UA"/>
        </w:rPr>
        <w:t>"</w:t>
      </w:r>
      <w:r w:rsidR="00183E22" w:rsidRPr="00720DC2">
        <w:rPr>
          <w:lang w:val="uk-UA"/>
        </w:rPr>
        <w:t xml:space="preserve">, </w:t>
      </w:r>
      <w:r w:rsidR="00D4778A" w:rsidRPr="00720DC2">
        <w:rPr>
          <w:lang w:val="uk-UA"/>
        </w:rPr>
        <w:t>"</w:t>
      </w:r>
      <w:r w:rsidR="00183E22" w:rsidRPr="00720DC2">
        <w:rPr>
          <w:rStyle w:val="af2"/>
          <w:bCs/>
          <w:i w:val="0"/>
          <w:lang w:val="uk-UA"/>
        </w:rPr>
        <w:t>Інноваційне підприємство малого бізнесу</w:t>
      </w:r>
      <w:r w:rsidR="00D4778A" w:rsidRPr="00720DC2">
        <w:rPr>
          <w:lang w:val="uk-UA"/>
        </w:rPr>
        <w:t>"</w:t>
      </w:r>
      <w:r w:rsidR="00183E22" w:rsidRPr="00720DC2">
        <w:rPr>
          <w:lang w:val="uk-UA"/>
        </w:rPr>
        <w:t>,</w:t>
      </w:r>
      <w:r w:rsidR="009A4E09" w:rsidRPr="00720DC2">
        <w:rPr>
          <w:lang w:val="uk-UA"/>
        </w:rPr>
        <w:t xml:space="preserve"> </w:t>
      </w:r>
      <w:r w:rsidR="00D4778A" w:rsidRPr="00720DC2">
        <w:rPr>
          <w:lang w:val="uk-UA"/>
        </w:rPr>
        <w:t>"</w:t>
      </w:r>
      <w:r w:rsidR="00183E22" w:rsidRPr="00720DC2">
        <w:rPr>
          <w:rStyle w:val="af2"/>
          <w:bCs/>
          <w:i w:val="0"/>
          <w:lang w:val="uk-UA"/>
        </w:rPr>
        <w:t>Успішний менеджер – жінка</w:t>
      </w:r>
      <w:r w:rsidR="00D4778A" w:rsidRPr="00720DC2">
        <w:rPr>
          <w:lang w:val="uk-UA"/>
        </w:rPr>
        <w:t>"</w:t>
      </w:r>
      <w:r w:rsidR="00183E22" w:rsidRPr="00720DC2">
        <w:rPr>
          <w:lang w:val="uk-UA"/>
        </w:rPr>
        <w:t>,</w:t>
      </w:r>
      <w:r w:rsidR="00D4778A" w:rsidRPr="00720DC2">
        <w:rPr>
          <w:lang w:val="uk-UA"/>
        </w:rPr>
        <w:t>"</w:t>
      </w:r>
      <w:r w:rsidR="00183E22" w:rsidRPr="00720DC2">
        <w:rPr>
          <w:rStyle w:val="af2"/>
          <w:bCs/>
          <w:i w:val="0"/>
          <w:lang w:val="uk-UA"/>
        </w:rPr>
        <w:t>Кращий   навчальний заклад   з підготовки  робітничих кадрів</w:t>
      </w:r>
      <w:r w:rsidR="00D4778A" w:rsidRPr="00720DC2">
        <w:rPr>
          <w:rStyle w:val="af2"/>
          <w:bCs/>
          <w:i w:val="0"/>
          <w:lang w:val="uk-UA"/>
        </w:rPr>
        <w:t>"</w:t>
      </w:r>
      <w:r w:rsidR="00183E22" w:rsidRPr="00720DC2">
        <w:rPr>
          <w:rStyle w:val="af2"/>
          <w:bCs/>
          <w:i w:val="0"/>
          <w:lang w:val="uk-UA"/>
        </w:rPr>
        <w:t xml:space="preserve">, </w:t>
      </w:r>
      <w:r w:rsidR="00D4778A" w:rsidRPr="00720DC2">
        <w:rPr>
          <w:rStyle w:val="af2"/>
          <w:bCs/>
          <w:i w:val="0"/>
          <w:lang w:val="uk-UA"/>
        </w:rPr>
        <w:t>"</w:t>
      </w:r>
      <w:r w:rsidR="00183E22" w:rsidRPr="00720DC2">
        <w:rPr>
          <w:rStyle w:val="af2"/>
          <w:bCs/>
          <w:i w:val="0"/>
          <w:lang w:val="uk-UA"/>
        </w:rPr>
        <w:t>Краще підприємство 2017 року в галузі інформаційних технологій</w:t>
      </w:r>
      <w:r w:rsidR="00D4778A" w:rsidRPr="00720DC2">
        <w:rPr>
          <w:rStyle w:val="af2"/>
          <w:bCs/>
          <w:i w:val="0"/>
          <w:lang w:val="uk-UA"/>
        </w:rPr>
        <w:t>"</w:t>
      </w:r>
      <w:r w:rsidR="00183E22" w:rsidRPr="00720DC2">
        <w:rPr>
          <w:rStyle w:val="af2"/>
          <w:bCs/>
          <w:i w:val="0"/>
          <w:lang w:val="uk-UA"/>
        </w:rPr>
        <w:t xml:space="preserve">. Не оминули увагою і лідера номінацій переможців акції </w:t>
      </w:r>
      <w:r w:rsidR="00D4778A" w:rsidRPr="00720DC2">
        <w:rPr>
          <w:rStyle w:val="af2"/>
          <w:bCs/>
          <w:i w:val="0"/>
          <w:lang w:val="uk-UA"/>
        </w:rPr>
        <w:t>"</w:t>
      </w:r>
      <w:r w:rsidR="00183E22" w:rsidRPr="00720DC2">
        <w:rPr>
          <w:rStyle w:val="af2"/>
          <w:bCs/>
          <w:i w:val="0"/>
          <w:lang w:val="uk-UA"/>
        </w:rPr>
        <w:t>Тріумф</w:t>
      </w:r>
      <w:r w:rsidR="00D4778A" w:rsidRPr="00720DC2">
        <w:rPr>
          <w:rStyle w:val="af2"/>
          <w:bCs/>
          <w:i w:val="0"/>
          <w:lang w:val="uk-UA"/>
        </w:rPr>
        <w:t>"</w:t>
      </w:r>
      <w:r w:rsidR="00183E22" w:rsidRPr="00720DC2">
        <w:rPr>
          <w:rStyle w:val="af2"/>
          <w:bCs/>
          <w:i w:val="0"/>
          <w:lang w:val="uk-UA"/>
        </w:rPr>
        <w:t xml:space="preserve"> 2003-2016 років, ним стало </w:t>
      </w:r>
      <w:r w:rsidR="00183E22" w:rsidRPr="00720DC2">
        <w:rPr>
          <w:rStyle w:val="a9"/>
          <w:b w:val="0"/>
          <w:lang w:val="uk-UA"/>
        </w:rPr>
        <w:t>ТзОВ</w:t>
      </w:r>
      <w:r w:rsidR="00183E22" w:rsidRPr="00720DC2">
        <w:rPr>
          <w:rStyle w:val="a9"/>
          <w:i/>
          <w:lang w:val="uk-UA"/>
        </w:rPr>
        <w:t xml:space="preserve"> </w:t>
      </w:r>
      <w:r w:rsidR="00D4778A" w:rsidRPr="00720DC2">
        <w:rPr>
          <w:rStyle w:val="a9"/>
          <w:b w:val="0"/>
          <w:lang w:val="uk-UA"/>
        </w:rPr>
        <w:t>"</w:t>
      </w:r>
      <w:r w:rsidR="00183E22" w:rsidRPr="00720DC2">
        <w:rPr>
          <w:rStyle w:val="a9"/>
          <w:b w:val="0"/>
          <w:lang w:val="uk-UA"/>
        </w:rPr>
        <w:t>Івано-Франківський хлібокомбінат</w:t>
      </w:r>
      <w:r w:rsidR="00D4778A" w:rsidRPr="00720DC2">
        <w:rPr>
          <w:rStyle w:val="a9"/>
          <w:b w:val="0"/>
          <w:lang w:val="uk-UA"/>
        </w:rPr>
        <w:t>"</w:t>
      </w:r>
      <w:r w:rsidR="00183E22" w:rsidRPr="00720DC2">
        <w:rPr>
          <w:rStyle w:val="a9"/>
          <w:b w:val="0"/>
          <w:lang w:val="uk-UA"/>
        </w:rPr>
        <w:t>.</w:t>
      </w:r>
    </w:p>
    <w:p w:rsidR="007978C4" w:rsidRPr="00720DC2" w:rsidRDefault="007978C4" w:rsidP="007978C4">
      <w:pPr>
        <w:ind w:firstLine="708"/>
        <w:jc w:val="both"/>
        <w:rPr>
          <w:lang w:val="uk-UA"/>
        </w:rPr>
      </w:pPr>
      <w:r w:rsidRPr="00720DC2">
        <w:rPr>
          <w:lang w:val="uk-UA"/>
        </w:rPr>
        <w:t xml:space="preserve">З метою впровадження картки іванофранківця </w:t>
      </w:r>
      <w:r w:rsidR="005D719D" w:rsidRPr="00720DC2">
        <w:rPr>
          <w:lang w:val="uk-UA"/>
        </w:rPr>
        <w:t>триває співпраця</w:t>
      </w:r>
      <w:r w:rsidRPr="00720DC2">
        <w:rPr>
          <w:lang w:val="uk-UA"/>
        </w:rPr>
        <w:t xml:space="preserve"> з основними харчопереробними підприємствами щодо можливості реалізації продукції зі знижкою у соціальних магазинах міста, а також у фірмовій </w:t>
      </w:r>
      <w:r w:rsidRPr="00720DC2">
        <w:rPr>
          <w:lang w:val="uk-UA"/>
        </w:rPr>
        <w:lastRenderedPageBreak/>
        <w:t xml:space="preserve">мережі кожного з місцевих виробників. </w:t>
      </w:r>
      <w:r w:rsidR="005D719D" w:rsidRPr="00720DC2">
        <w:rPr>
          <w:lang w:val="uk-UA"/>
        </w:rPr>
        <w:t>Так,</w:t>
      </w:r>
      <w:r w:rsidRPr="00720DC2">
        <w:rPr>
          <w:lang w:val="uk-UA"/>
        </w:rPr>
        <w:t xml:space="preserve"> з вересня 2018 року мешканці міста при наявності картки іванофранківця мають змогу придбати 4 види соціального хліба у фірмовій мережі ТДВ </w:t>
      </w:r>
      <w:r w:rsidR="00D4778A" w:rsidRPr="00720DC2">
        <w:rPr>
          <w:lang w:val="uk-UA"/>
        </w:rPr>
        <w:t>"</w:t>
      </w:r>
      <w:r w:rsidRPr="00720DC2">
        <w:rPr>
          <w:lang w:val="uk-UA"/>
        </w:rPr>
        <w:t>Івано-Франківський хлібокомбінат</w:t>
      </w:r>
      <w:r w:rsidR="00D4778A" w:rsidRPr="00720DC2">
        <w:rPr>
          <w:lang w:val="uk-UA"/>
        </w:rPr>
        <w:t>"</w:t>
      </w:r>
      <w:r w:rsidRPr="00720DC2">
        <w:rPr>
          <w:lang w:val="uk-UA"/>
        </w:rPr>
        <w:t xml:space="preserve"> зі знижкою 5%.</w:t>
      </w:r>
    </w:p>
    <w:p w:rsidR="00183E22" w:rsidRPr="00720DC2" w:rsidRDefault="00183E22" w:rsidP="00183E22">
      <w:pPr>
        <w:ind w:firstLine="700"/>
        <w:jc w:val="both"/>
        <w:outlineLvl w:val="0"/>
        <w:rPr>
          <w:highlight w:val="yellow"/>
          <w:lang w:val="uk-UA"/>
        </w:rPr>
      </w:pPr>
    </w:p>
    <w:p w:rsidR="00183E22" w:rsidRPr="00720DC2" w:rsidRDefault="00183E22" w:rsidP="00183E22">
      <w:pPr>
        <w:ind w:firstLine="700"/>
        <w:jc w:val="both"/>
        <w:outlineLvl w:val="0"/>
        <w:rPr>
          <w:i/>
          <w:lang w:val="uk-UA"/>
        </w:rPr>
      </w:pPr>
      <w:r w:rsidRPr="00720DC2">
        <w:rPr>
          <w:i/>
          <w:lang w:val="uk-UA"/>
        </w:rPr>
        <w:t>2.2 Енергозбереження</w:t>
      </w:r>
      <w:r w:rsidR="00DB14E2" w:rsidRPr="00720DC2">
        <w:rPr>
          <w:i/>
          <w:lang w:val="uk-UA"/>
        </w:rPr>
        <w:t>,</w:t>
      </w:r>
      <w:r w:rsidRPr="00720DC2">
        <w:rPr>
          <w:i/>
          <w:lang w:val="uk-UA"/>
        </w:rPr>
        <w:t>енергоефективність</w:t>
      </w:r>
      <w:r w:rsidR="00DB14E2" w:rsidRPr="00720DC2">
        <w:rPr>
          <w:i/>
          <w:lang w:val="uk-UA"/>
        </w:rPr>
        <w:t>, екологія</w:t>
      </w:r>
    </w:p>
    <w:p w:rsidR="004C6627" w:rsidRPr="00720DC2" w:rsidRDefault="00B65202" w:rsidP="004C6627">
      <w:pPr>
        <w:pStyle w:val="af1"/>
        <w:tabs>
          <w:tab w:val="left" w:pos="993"/>
        </w:tabs>
        <w:ind w:left="0" w:firstLine="709"/>
        <w:jc w:val="both"/>
        <w:rPr>
          <w:sz w:val="28"/>
          <w:szCs w:val="28"/>
          <w:lang w:val="uk-UA"/>
        </w:rPr>
      </w:pPr>
      <w:r w:rsidRPr="00720DC2">
        <w:rPr>
          <w:sz w:val="28"/>
          <w:szCs w:val="28"/>
          <w:lang w:val="uk-UA"/>
        </w:rPr>
        <w:t>В умовах постійного зростання цін на основні види енергоресурсів особливої актуальності набувають питання енергозбереження та підвищення енергоефективності в закладах та установах, що фінансуються з міського бюджету, а також на підприємствах комунальної власності.</w:t>
      </w:r>
    </w:p>
    <w:p w:rsidR="004C6627" w:rsidRPr="00720DC2" w:rsidRDefault="004C6627" w:rsidP="004C6627">
      <w:pPr>
        <w:ind w:firstLine="705"/>
        <w:jc w:val="both"/>
        <w:rPr>
          <w:lang w:val="uk-UA"/>
        </w:rPr>
      </w:pPr>
      <w:r w:rsidRPr="00720DC2">
        <w:rPr>
          <w:lang w:val="uk-UA"/>
        </w:rPr>
        <w:t>Забезпечено функціонування єдиної автоматизованої системи моніторингу і аналізу споживання енергоносіїв та комунальних послуг закладами бюджетної сфери. До роботи у системі залучені 95 закладів освіти (за програмою, розробленою ТОВ "ФІАТУ"), а також 57 будівель закладів охорони здоров’я та культури (програма "Smart City" компанії ТОВ "uMuni"), якими вноситься до баз даних обох систем інформація про споживання усіх видів енергоносіїв.</w:t>
      </w:r>
    </w:p>
    <w:p w:rsidR="004C6627" w:rsidRPr="00720DC2" w:rsidRDefault="004C6627" w:rsidP="004C6627">
      <w:pPr>
        <w:widowControl w:val="0"/>
        <w:ind w:firstLine="709"/>
        <w:jc w:val="both"/>
        <w:rPr>
          <w:lang w:val="uk-UA"/>
        </w:rPr>
      </w:pPr>
      <w:r w:rsidRPr="00720DC2">
        <w:rPr>
          <w:lang w:val="uk-UA"/>
        </w:rPr>
        <w:t xml:space="preserve">Здійснюється моніторинг використання енергоресурсів установами та закладами, які фінансуються з міського бюджету, щоквартально – аналіз дотримання встановлених лімітів </w:t>
      </w:r>
      <w:r w:rsidR="00F5344E">
        <w:rPr>
          <w:lang w:val="uk-UA"/>
        </w:rPr>
        <w:t xml:space="preserve">на 2018 рік </w:t>
      </w:r>
      <w:r w:rsidRPr="00720DC2">
        <w:rPr>
          <w:lang w:val="uk-UA"/>
        </w:rPr>
        <w:t>та виконання п</w:t>
      </w:r>
      <w:r w:rsidR="00F5344E">
        <w:rPr>
          <w:lang w:val="uk-UA"/>
        </w:rPr>
        <w:t>лану заходів з енергозбереження</w:t>
      </w:r>
      <w:r w:rsidRPr="00720DC2">
        <w:rPr>
          <w:lang w:val="uk-UA"/>
        </w:rPr>
        <w:t>.</w:t>
      </w:r>
    </w:p>
    <w:p w:rsidR="004C6627" w:rsidRPr="00720DC2" w:rsidRDefault="004C6627" w:rsidP="004C6627">
      <w:pPr>
        <w:widowControl w:val="0"/>
        <w:ind w:firstLine="709"/>
        <w:jc w:val="both"/>
        <w:rPr>
          <w:lang w:val="uk-UA"/>
        </w:rPr>
      </w:pPr>
      <w:r w:rsidRPr="00720DC2">
        <w:rPr>
          <w:lang w:val="uk-UA"/>
        </w:rPr>
        <w:t>Запроваджено роботу із встановлення у бюджетних закладах міста засобів дистанційної передачі даних про споживання енергоносіїв та заміни приладів їх обліку на сучасні, що дозволяють автоматизувати збір та передачу цих даних через Інтернет.</w:t>
      </w:r>
    </w:p>
    <w:p w:rsidR="00D85F61" w:rsidRPr="00720DC2" w:rsidRDefault="00D85F61" w:rsidP="00D85F61">
      <w:pPr>
        <w:tabs>
          <w:tab w:val="left" w:pos="0"/>
        </w:tabs>
        <w:ind w:firstLine="709"/>
        <w:jc w:val="both"/>
        <w:rPr>
          <w:lang w:val="uk-UA"/>
        </w:rPr>
      </w:pPr>
      <w:r w:rsidRPr="00720DC2">
        <w:rPr>
          <w:lang w:val="uk-UA"/>
        </w:rPr>
        <w:t xml:space="preserve">Продовжувалась </w:t>
      </w:r>
      <w:r w:rsidR="005D719D" w:rsidRPr="00720DC2">
        <w:rPr>
          <w:lang w:val="uk-UA"/>
        </w:rPr>
        <w:t>реалізація</w:t>
      </w:r>
      <w:r w:rsidRPr="00720DC2">
        <w:rPr>
          <w:lang w:val="uk-UA"/>
        </w:rPr>
        <w:t xml:space="preserve"> проекту </w:t>
      </w:r>
      <w:r w:rsidR="00D4778A" w:rsidRPr="00720DC2">
        <w:rPr>
          <w:lang w:val="uk-UA"/>
        </w:rPr>
        <w:t>"</w:t>
      </w:r>
      <w:r w:rsidRPr="00720DC2">
        <w:rPr>
          <w:lang w:val="uk-UA"/>
        </w:rPr>
        <w:t xml:space="preserve">Створення системи енергоменеджменту та моніторингу на ДМП </w:t>
      </w:r>
      <w:r w:rsidR="00D4778A" w:rsidRPr="00720DC2">
        <w:rPr>
          <w:lang w:val="uk-UA"/>
        </w:rPr>
        <w:t>"</w:t>
      </w:r>
      <w:r w:rsidRPr="00720DC2">
        <w:rPr>
          <w:lang w:val="uk-UA"/>
        </w:rPr>
        <w:t>Івано-Франківськ</w:t>
      </w:r>
      <w:r w:rsidRPr="00720DC2">
        <w:rPr>
          <w:lang w:val="uk-UA"/>
        </w:rPr>
        <w:softHyphen/>
        <w:t>тепло</w:t>
      </w:r>
      <w:r w:rsidRPr="00720DC2">
        <w:rPr>
          <w:lang w:val="uk-UA"/>
        </w:rPr>
        <w:softHyphen/>
        <w:t>комуненерго</w:t>
      </w:r>
      <w:r w:rsidR="00D4778A" w:rsidRPr="00720DC2">
        <w:rPr>
          <w:lang w:val="uk-UA"/>
        </w:rPr>
        <w:t>"</w:t>
      </w:r>
      <w:r w:rsidRPr="00720DC2">
        <w:rPr>
          <w:color w:val="000000"/>
          <w:lang w:val="uk-UA"/>
        </w:rPr>
        <w:t xml:space="preserve"> (встановлення системи диспетчеризації та моніторингу)</w:t>
      </w:r>
      <w:r w:rsidR="00D4778A" w:rsidRPr="00720DC2">
        <w:rPr>
          <w:color w:val="000000"/>
          <w:lang w:val="uk-UA"/>
        </w:rPr>
        <w:t>"</w:t>
      </w:r>
      <w:r w:rsidRPr="00720DC2">
        <w:rPr>
          <w:color w:val="000000"/>
          <w:lang w:val="uk-UA"/>
        </w:rPr>
        <w:t>, який реалізовувався за грантові кошти Регіонального екологічного центру для Центральної та Східної Європи (LINK).</w:t>
      </w:r>
      <w:r w:rsidRPr="00720DC2">
        <w:rPr>
          <w:lang w:val="uk-UA"/>
        </w:rPr>
        <w:t xml:space="preserve"> </w:t>
      </w:r>
    </w:p>
    <w:p w:rsidR="00D85F61" w:rsidRPr="00720DC2" w:rsidRDefault="004C6627" w:rsidP="004C6627">
      <w:pPr>
        <w:tabs>
          <w:tab w:val="left" w:pos="0"/>
        </w:tabs>
        <w:ind w:firstLine="709"/>
        <w:jc w:val="both"/>
        <w:rPr>
          <w:lang w:val="uk-UA"/>
        </w:rPr>
      </w:pPr>
      <w:r w:rsidRPr="00720DC2">
        <w:rPr>
          <w:lang w:val="uk-UA"/>
        </w:rPr>
        <w:t xml:space="preserve">В рамках проекту на ДМП "Івано-Франківськтеплокомуненерго" </w:t>
      </w:r>
      <w:r w:rsidR="00DC6F8F">
        <w:rPr>
          <w:lang w:val="uk-UA"/>
        </w:rPr>
        <w:t>впроваджено</w:t>
      </w:r>
      <w:r w:rsidR="00D85F61" w:rsidRPr="00720DC2">
        <w:rPr>
          <w:lang w:val="uk-UA"/>
        </w:rPr>
        <w:t xml:space="preserve"> систему енергоменеджменту</w:t>
      </w:r>
      <w:r w:rsidRPr="00720DC2">
        <w:rPr>
          <w:lang w:val="uk-UA"/>
        </w:rPr>
        <w:t xml:space="preserve">, </w:t>
      </w:r>
      <w:r w:rsidR="00D85F61" w:rsidRPr="00720DC2">
        <w:rPr>
          <w:lang w:val="uk-UA"/>
        </w:rPr>
        <w:t xml:space="preserve">розроблено стратегічний план розвитку </w:t>
      </w:r>
      <w:r w:rsidRPr="00720DC2">
        <w:rPr>
          <w:lang w:val="uk-UA"/>
        </w:rPr>
        <w:t xml:space="preserve">підприємства на 2018-2022рр., </w:t>
      </w:r>
      <w:r w:rsidR="00D85F61" w:rsidRPr="00720DC2">
        <w:rPr>
          <w:lang w:val="uk-UA"/>
        </w:rPr>
        <w:t>встановл</w:t>
      </w:r>
      <w:r w:rsidR="00C159E4">
        <w:rPr>
          <w:lang w:val="uk-UA"/>
        </w:rPr>
        <w:t>ен</w:t>
      </w:r>
      <w:r w:rsidR="00D85F61" w:rsidRPr="00720DC2">
        <w:rPr>
          <w:lang w:val="uk-UA"/>
        </w:rPr>
        <w:t>о систему зчитування та передачі даних для показників комерційного обліку виробленої теплової енергії, споживання холодної води, електроенергії та газу (сис</w:t>
      </w:r>
      <w:r w:rsidRPr="00720DC2">
        <w:rPr>
          <w:lang w:val="uk-UA"/>
        </w:rPr>
        <w:t xml:space="preserve">тема моніторингу енергоносіїв), </w:t>
      </w:r>
      <w:r w:rsidR="00D85F61" w:rsidRPr="00720DC2">
        <w:rPr>
          <w:lang w:val="uk-UA"/>
        </w:rPr>
        <w:t xml:space="preserve">придбано обладнання </w:t>
      </w:r>
      <w:r w:rsidR="00D85F61" w:rsidRPr="00720DC2">
        <w:rPr>
          <w:iCs/>
          <w:lang w:val="uk-UA"/>
        </w:rPr>
        <w:t xml:space="preserve"> для обробки даних та </w:t>
      </w:r>
      <w:r w:rsidR="00D85F61" w:rsidRPr="00720DC2">
        <w:rPr>
          <w:lang w:val="uk-UA"/>
        </w:rPr>
        <w:t>лічильники холо</w:t>
      </w:r>
      <w:r w:rsidRPr="00720DC2">
        <w:rPr>
          <w:lang w:val="uk-UA"/>
        </w:rPr>
        <w:t xml:space="preserve">дної  води з імпульсним виходом, </w:t>
      </w:r>
      <w:r w:rsidR="00D85F61" w:rsidRPr="00720DC2">
        <w:rPr>
          <w:lang w:val="uk-UA"/>
        </w:rPr>
        <w:t xml:space="preserve">виготовлено проектно-кошторисну документацію для реконструкції котелень на вул. Незалежності, 95а </w:t>
      </w:r>
      <w:r w:rsidRPr="00720DC2">
        <w:rPr>
          <w:lang w:val="uk-UA"/>
        </w:rPr>
        <w:t>і</w:t>
      </w:r>
      <w:r w:rsidR="00D85F61" w:rsidRPr="00720DC2">
        <w:rPr>
          <w:lang w:val="uk-UA"/>
        </w:rPr>
        <w:t xml:space="preserve"> Матейки, 34 та підключення нових споживачів до центрального теплопостачання.</w:t>
      </w:r>
    </w:p>
    <w:p w:rsidR="00247917" w:rsidRPr="005A4552" w:rsidRDefault="00247917" w:rsidP="00247917">
      <w:pPr>
        <w:pStyle w:val="af1"/>
        <w:tabs>
          <w:tab w:val="left" w:pos="1134"/>
        </w:tabs>
        <w:ind w:left="0" w:firstLine="709"/>
        <w:jc w:val="both"/>
        <w:rPr>
          <w:sz w:val="28"/>
          <w:szCs w:val="28"/>
          <w:lang w:val="uk-UA"/>
        </w:rPr>
      </w:pPr>
      <w:r w:rsidRPr="00841121">
        <w:rPr>
          <w:sz w:val="28"/>
          <w:szCs w:val="28"/>
          <w:lang w:val="uk-UA"/>
        </w:rPr>
        <w:t xml:space="preserve">Не менш важливим напрямком роботи </w:t>
      </w:r>
      <w:r>
        <w:rPr>
          <w:sz w:val="28"/>
          <w:szCs w:val="28"/>
          <w:lang w:val="uk-UA"/>
        </w:rPr>
        <w:t xml:space="preserve">є </w:t>
      </w:r>
      <w:r w:rsidR="004B6262">
        <w:rPr>
          <w:sz w:val="28"/>
          <w:szCs w:val="28"/>
          <w:lang w:val="uk-UA"/>
        </w:rPr>
        <w:t>впровадження</w:t>
      </w:r>
      <w:r>
        <w:rPr>
          <w:sz w:val="28"/>
          <w:szCs w:val="28"/>
          <w:lang w:val="uk-UA"/>
        </w:rPr>
        <w:t xml:space="preserve"> проекту  "</w:t>
      </w:r>
      <w:r w:rsidRPr="00841121">
        <w:rPr>
          <w:sz w:val="28"/>
          <w:szCs w:val="28"/>
          <w:lang w:val="uk-UA"/>
        </w:rPr>
        <w:t>Підвищення енергоефективності об’єктів бюджетн</w:t>
      </w:r>
      <w:r>
        <w:rPr>
          <w:sz w:val="28"/>
          <w:szCs w:val="28"/>
          <w:lang w:val="uk-UA"/>
        </w:rPr>
        <w:t>ої сфери міста Івано-Франківськ"</w:t>
      </w:r>
      <w:r w:rsidRPr="00841121">
        <w:rPr>
          <w:sz w:val="28"/>
          <w:szCs w:val="28"/>
          <w:lang w:val="uk-UA"/>
        </w:rPr>
        <w:t xml:space="preserve"> (І та ІІ етапи), який реалізовується за підтримки </w:t>
      </w:r>
      <w:r>
        <w:rPr>
          <w:sz w:val="28"/>
          <w:szCs w:val="28"/>
          <w:lang w:val="uk-UA"/>
        </w:rPr>
        <w:t>Північної</w:t>
      </w:r>
      <w:r w:rsidRPr="00841121">
        <w:rPr>
          <w:sz w:val="28"/>
          <w:szCs w:val="28"/>
          <w:lang w:val="uk-UA"/>
        </w:rPr>
        <w:t xml:space="preserve"> Екологічн</w:t>
      </w:r>
      <w:r>
        <w:rPr>
          <w:sz w:val="28"/>
          <w:szCs w:val="28"/>
          <w:lang w:val="uk-UA"/>
        </w:rPr>
        <w:t>ої</w:t>
      </w:r>
      <w:r w:rsidRPr="00841121">
        <w:rPr>
          <w:sz w:val="28"/>
          <w:szCs w:val="28"/>
          <w:lang w:val="uk-UA"/>
        </w:rPr>
        <w:t xml:space="preserve"> Фінансов</w:t>
      </w:r>
      <w:r>
        <w:rPr>
          <w:sz w:val="28"/>
          <w:szCs w:val="28"/>
          <w:lang w:val="uk-UA"/>
        </w:rPr>
        <w:t>ої корпорації</w:t>
      </w:r>
      <w:r w:rsidRPr="00841121">
        <w:rPr>
          <w:sz w:val="28"/>
          <w:szCs w:val="28"/>
          <w:lang w:val="uk-UA"/>
        </w:rPr>
        <w:t xml:space="preserve"> НЕФКО та Фонду E5P.</w:t>
      </w:r>
    </w:p>
    <w:p w:rsidR="00247917" w:rsidRPr="00BF43EC" w:rsidRDefault="00247917" w:rsidP="00247917">
      <w:pPr>
        <w:widowControl w:val="0"/>
        <w:tabs>
          <w:tab w:val="left" w:pos="570"/>
        </w:tabs>
        <w:suppressAutoHyphens/>
        <w:autoSpaceDE w:val="0"/>
        <w:ind w:firstLine="709"/>
        <w:jc w:val="both"/>
        <w:rPr>
          <w:rFonts w:eastAsia="SimSun" w:cs="Times New Roman"/>
          <w:lang w:val="uk-UA" w:eastAsia="zh-CN"/>
        </w:rPr>
      </w:pPr>
      <w:r w:rsidRPr="00BF43EC">
        <w:rPr>
          <w:rFonts w:eastAsia="SimSun" w:cs="Times New Roman"/>
          <w:lang w:val="uk-UA" w:eastAsia="zh-CN"/>
        </w:rPr>
        <w:t>На виконання капітальних ремонтів дошкільних нав</w:t>
      </w:r>
      <w:r>
        <w:rPr>
          <w:rFonts w:eastAsia="SimSun" w:cs="Times New Roman"/>
          <w:lang w:val="uk-UA" w:eastAsia="zh-CN"/>
        </w:rPr>
        <w:t>чальних закладів (етап І) в 2018 році</w:t>
      </w:r>
      <w:r w:rsidRPr="00BF43EC">
        <w:rPr>
          <w:rFonts w:eastAsia="SimSun" w:cs="Times New Roman"/>
          <w:lang w:val="uk-UA" w:eastAsia="zh-CN"/>
        </w:rPr>
        <w:t xml:space="preserve"> спрямовано</w:t>
      </w:r>
      <w:r>
        <w:rPr>
          <w:rFonts w:eastAsia="SimSun" w:cs="Times New Roman"/>
          <w:lang w:val="uk-UA" w:eastAsia="zh-CN"/>
        </w:rPr>
        <w:t xml:space="preserve"> кошти </w:t>
      </w:r>
      <w:r w:rsidRPr="00BF43EC">
        <w:rPr>
          <w:rFonts w:eastAsia="SimSun" w:cs="Times New Roman"/>
          <w:lang w:val="uk-UA" w:eastAsia="zh-CN"/>
        </w:rPr>
        <w:t>в сумі 6</w:t>
      </w:r>
      <w:r>
        <w:rPr>
          <w:rFonts w:eastAsia="SimSun" w:cs="Times New Roman"/>
          <w:lang w:val="uk-UA" w:eastAsia="zh-CN"/>
        </w:rPr>
        <w:t xml:space="preserve"> </w:t>
      </w:r>
      <w:r w:rsidRPr="00BF43EC">
        <w:rPr>
          <w:rFonts w:eastAsia="SimSun" w:cs="Times New Roman"/>
          <w:lang w:val="uk-UA" w:eastAsia="zh-CN"/>
        </w:rPr>
        <w:t>286,86</w:t>
      </w:r>
      <w:r>
        <w:rPr>
          <w:rFonts w:eastAsia="SimSun" w:cs="Times New Roman"/>
          <w:lang w:val="uk-UA" w:eastAsia="zh-CN"/>
        </w:rPr>
        <w:t xml:space="preserve"> тис. грн</w:t>
      </w:r>
      <w:r w:rsidRPr="00BF43EC">
        <w:rPr>
          <w:rFonts w:eastAsia="SimSun" w:cs="Times New Roman"/>
          <w:lang w:val="uk-UA" w:eastAsia="zh-CN"/>
        </w:rPr>
        <w:t>, зокрема</w:t>
      </w:r>
      <w:r>
        <w:rPr>
          <w:rFonts w:eastAsia="SimSun" w:cs="Times New Roman"/>
          <w:lang w:val="uk-UA" w:eastAsia="zh-CN"/>
        </w:rPr>
        <w:t xml:space="preserve"> на</w:t>
      </w:r>
      <w:r w:rsidRPr="00BF43EC">
        <w:rPr>
          <w:rFonts w:eastAsia="SimSun" w:cs="Times New Roman"/>
          <w:lang w:val="uk-UA" w:eastAsia="zh-CN"/>
        </w:rPr>
        <w:t>:</w:t>
      </w:r>
    </w:p>
    <w:p w:rsidR="00247917" w:rsidRPr="00BF43EC" w:rsidRDefault="00247917" w:rsidP="004D6ED6">
      <w:pPr>
        <w:widowControl w:val="0"/>
        <w:numPr>
          <w:ilvl w:val="0"/>
          <w:numId w:val="24"/>
        </w:numPr>
        <w:tabs>
          <w:tab w:val="clear" w:pos="720"/>
          <w:tab w:val="left" w:pos="993"/>
        </w:tabs>
        <w:suppressAutoHyphens/>
        <w:autoSpaceDE w:val="0"/>
        <w:ind w:left="0" w:firstLine="709"/>
        <w:jc w:val="both"/>
        <w:rPr>
          <w:rFonts w:eastAsia="SimSun" w:cs="Times New Roman"/>
          <w:lang w:val="uk-UA" w:eastAsia="zh-CN"/>
        </w:rPr>
      </w:pPr>
      <w:r w:rsidRPr="00BF43EC">
        <w:rPr>
          <w:rFonts w:eastAsia="SimSun" w:cs="Times New Roman"/>
          <w:lang w:val="uk-UA" w:eastAsia="zh-CN"/>
        </w:rPr>
        <w:t xml:space="preserve">капітальний ремонт  ДНЗ №18 </w:t>
      </w:r>
      <w:r>
        <w:rPr>
          <w:rFonts w:eastAsia="SimSun" w:cs="Times New Roman"/>
          <w:lang w:val="uk-UA" w:eastAsia="zh-CN"/>
        </w:rPr>
        <w:t>"</w:t>
      </w:r>
      <w:r w:rsidRPr="00BF43EC">
        <w:rPr>
          <w:rFonts w:eastAsia="SimSun" w:cs="Times New Roman"/>
          <w:lang w:val="uk-UA" w:eastAsia="zh-CN"/>
        </w:rPr>
        <w:t>Зернятко</w:t>
      </w:r>
      <w:r>
        <w:rPr>
          <w:rFonts w:eastAsia="SimSun" w:cs="Times New Roman"/>
          <w:lang w:val="uk-UA" w:eastAsia="zh-CN"/>
        </w:rPr>
        <w:t>"</w:t>
      </w:r>
      <w:r w:rsidRPr="00BF43EC">
        <w:rPr>
          <w:rFonts w:eastAsia="SimSun" w:cs="Times New Roman"/>
          <w:lang w:val="uk-UA" w:eastAsia="zh-CN"/>
        </w:rPr>
        <w:t xml:space="preserve"> </w:t>
      </w:r>
      <w:r w:rsidR="00DC6F8F">
        <w:rPr>
          <w:rFonts w:eastAsia="SimSun" w:cs="Times New Roman"/>
          <w:lang w:val="uk-UA" w:eastAsia="zh-CN"/>
        </w:rPr>
        <w:t>на</w:t>
      </w:r>
      <w:r w:rsidRPr="00BF43EC">
        <w:rPr>
          <w:rFonts w:eastAsia="SimSun" w:cs="Times New Roman"/>
          <w:lang w:val="uk-UA" w:eastAsia="zh-CN"/>
        </w:rPr>
        <w:t xml:space="preserve"> вул. Івана Павла ІІ, 14 </w:t>
      </w:r>
      <w:r w:rsidRPr="00BF43EC">
        <w:rPr>
          <w:rFonts w:eastAsia="SimSun" w:cs="Times New Roman"/>
          <w:lang w:val="uk-UA" w:eastAsia="zh-CN"/>
        </w:rPr>
        <w:lastRenderedPageBreak/>
        <w:t xml:space="preserve">та ДНЗ №16 </w:t>
      </w:r>
      <w:r>
        <w:rPr>
          <w:rFonts w:eastAsia="SimSun" w:cs="Times New Roman"/>
          <w:lang w:val="uk-UA" w:eastAsia="zh-CN"/>
        </w:rPr>
        <w:t>"</w:t>
      </w:r>
      <w:r w:rsidRPr="00BF43EC">
        <w:rPr>
          <w:rFonts w:eastAsia="SimSun" w:cs="Times New Roman"/>
          <w:lang w:val="uk-UA" w:eastAsia="zh-CN"/>
        </w:rPr>
        <w:t>Сонечко</w:t>
      </w:r>
      <w:r>
        <w:rPr>
          <w:rFonts w:eastAsia="SimSun" w:cs="Times New Roman"/>
          <w:lang w:val="uk-UA" w:eastAsia="zh-CN"/>
        </w:rPr>
        <w:t>"</w:t>
      </w:r>
      <w:r w:rsidRPr="00BF43EC">
        <w:rPr>
          <w:rFonts w:eastAsia="SimSun" w:cs="Times New Roman"/>
          <w:lang w:val="uk-UA" w:eastAsia="zh-CN"/>
        </w:rPr>
        <w:t xml:space="preserve"> </w:t>
      </w:r>
      <w:r w:rsidR="00DC6F8F">
        <w:rPr>
          <w:rFonts w:eastAsia="SimSun" w:cs="Times New Roman"/>
          <w:lang w:val="uk-UA" w:eastAsia="zh-CN"/>
        </w:rPr>
        <w:t>на</w:t>
      </w:r>
      <w:r w:rsidRPr="00BF43EC">
        <w:rPr>
          <w:rFonts w:eastAsia="SimSun" w:cs="Times New Roman"/>
          <w:lang w:val="uk-UA" w:eastAsia="zh-CN"/>
        </w:rPr>
        <w:t xml:space="preserve"> вул. Короля Данила, 15а</w:t>
      </w:r>
      <w:r w:rsidR="00DC6F8F">
        <w:rPr>
          <w:rFonts w:eastAsia="SimSun" w:cs="Times New Roman"/>
          <w:lang w:val="uk-UA" w:eastAsia="zh-CN"/>
        </w:rPr>
        <w:t xml:space="preserve"> </w:t>
      </w:r>
      <w:r w:rsidRPr="00BF43EC">
        <w:rPr>
          <w:rFonts w:eastAsia="SimSun" w:cs="Times New Roman"/>
          <w:lang w:val="uk-UA" w:eastAsia="zh-CN"/>
        </w:rPr>
        <w:t>–175,64 тис. грн;</w:t>
      </w:r>
    </w:p>
    <w:p w:rsidR="00247917" w:rsidRPr="00BF43EC" w:rsidRDefault="00247917" w:rsidP="004D6ED6">
      <w:pPr>
        <w:widowControl w:val="0"/>
        <w:numPr>
          <w:ilvl w:val="0"/>
          <w:numId w:val="24"/>
        </w:numPr>
        <w:tabs>
          <w:tab w:val="clear" w:pos="720"/>
          <w:tab w:val="left" w:pos="993"/>
        </w:tabs>
        <w:suppressAutoHyphens/>
        <w:autoSpaceDE w:val="0"/>
        <w:ind w:left="0" w:firstLine="709"/>
        <w:jc w:val="both"/>
        <w:rPr>
          <w:rFonts w:eastAsia="SimSun" w:cs="Times New Roman"/>
          <w:lang w:val="uk-UA" w:eastAsia="zh-CN"/>
        </w:rPr>
      </w:pPr>
      <w:r w:rsidRPr="00BF43EC">
        <w:rPr>
          <w:rFonts w:eastAsia="SimSun" w:cs="Times New Roman"/>
          <w:lang w:val="uk-UA" w:eastAsia="zh-CN"/>
        </w:rPr>
        <w:t xml:space="preserve">капітальний ремонт  ДНЗ №23 </w:t>
      </w:r>
      <w:r>
        <w:rPr>
          <w:rFonts w:eastAsia="SimSun" w:cs="Times New Roman"/>
          <w:lang w:val="uk-UA" w:eastAsia="zh-CN"/>
        </w:rPr>
        <w:t>"</w:t>
      </w:r>
      <w:r w:rsidRPr="00BF43EC">
        <w:rPr>
          <w:rFonts w:eastAsia="SimSun" w:cs="Times New Roman"/>
          <w:lang w:val="uk-UA" w:eastAsia="zh-CN"/>
        </w:rPr>
        <w:t>Дударик</w:t>
      </w:r>
      <w:r>
        <w:rPr>
          <w:rFonts w:eastAsia="SimSun" w:cs="Times New Roman"/>
          <w:lang w:val="uk-UA" w:eastAsia="zh-CN"/>
        </w:rPr>
        <w:t>"</w:t>
      </w:r>
      <w:r w:rsidRPr="00BF43EC">
        <w:rPr>
          <w:rFonts w:eastAsia="SimSun" w:cs="Times New Roman"/>
          <w:lang w:val="uk-UA" w:eastAsia="zh-CN"/>
        </w:rPr>
        <w:t xml:space="preserve"> </w:t>
      </w:r>
      <w:r w:rsidR="00DC6F8F">
        <w:rPr>
          <w:rFonts w:eastAsia="SimSun" w:cs="Times New Roman"/>
          <w:lang w:val="uk-UA" w:eastAsia="zh-CN"/>
        </w:rPr>
        <w:t>на</w:t>
      </w:r>
      <w:r>
        <w:rPr>
          <w:rFonts w:eastAsia="SimSun" w:cs="Times New Roman"/>
          <w:lang w:val="uk-UA" w:eastAsia="zh-CN"/>
        </w:rPr>
        <w:t xml:space="preserve"> вул. Сухомлинського, 10а </w:t>
      </w:r>
      <w:r w:rsidRPr="00BF43EC">
        <w:rPr>
          <w:rFonts w:eastAsia="SimSun" w:cs="Times New Roman"/>
          <w:lang w:val="uk-UA" w:eastAsia="zh-CN"/>
        </w:rPr>
        <w:t>– 2</w:t>
      </w:r>
      <w:r>
        <w:rPr>
          <w:rFonts w:eastAsia="SimSun" w:cs="Times New Roman"/>
          <w:lang w:val="uk-UA" w:eastAsia="zh-CN"/>
        </w:rPr>
        <w:t xml:space="preserve"> </w:t>
      </w:r>
      <w:r w:rsidRPr="00BF43EC">
        <w:rPr>
          <w:rFonts w:eastAsia="SimSun" w:cs="Times New Roman"/>
          <w:lang w:val="uk-UA" w:eastAsia="zh-CN"/>
        </w:rPr>
        <w:t>387,91 тис. грн;</w:t>
      </w:r>
    </w:p>
    <w:p w:rsidR="00247917" w:rsidRPr="00BF43EC" w:rsidRDefault="00247917" w:rsidP="004D6ED6">
      <w:pPr>
        <w:widowControl w:val="0"/>
        <w:numPr>
          <w:ilvl w:val="0"/>
          <w:numId w:val="24"/>
        </w:numPr>
        <w:tabs>
          <w:tab w:val="clear" w:pos="720"/>
          <w:tab w:val="left" w:pos="993"/>
        </w:tabs>
        <w:suppressAutoHyphens/>
        <w:autoSpaceDE w:val="0"/>
        <w:ind w:left="0" w:firstLine="709"/>
        <w:jc w:val="both"/>
        <w:rPr>
          <w:rFonts w:eastAsia="SimSun" w:cs="Times New Roman"/>
          <w:lang w:val="uk-UA" w:eastAsia="zh-CN"/>
        </w:rPr>
      </w:pPr>
      <w:r w:rsidRPr="00BF43EC">
        <w:rPr>
          <w:rFonts w:eastAsia="SimSun" w:cs="Times New Roman"/>
          <w:lang w:val="uk-UA" w:eastAsia="zh-CN"/>
        </w:rPr>
        <w:t xml:space="preserve">капітальний ремонт ДНЗ №36 </w:t>
      </w:r>
      <w:r>
        <w:rPr>
          <w:rFonts w:eastAsia="SimSun" w:cs="Times New Roman"/>
          <w:lang w:val="uk-UA" w:eastAsia="zh-CN"/>
        </w:rPr>
        <w:t>"</w:t>
      </w:r>
      <w:r w:rsidRPr="00BF43EC">
        <w:rPr>
          <w:rFonts w:eastAsia="SimSun" w:cs="Times New Roman"/>
          <w:lang w:val="uk-UA" w:eastAsia="zh-CN"/>
        </w:rPr>
        <w:t>Віночок</w:t>
      </w:r>
      <w:r>
        <w:rPr>
          <w:rFonts w:eastAsia="SimSun" w:cs="Times New Roman"/>
          <w:lang w:val="uk-UA" w:eastAsia="zh-CN"/>
        </w:rPr>
        <w:t>"</w:t>
      </w:r>
      <w:r w:rsidRPr="00BF43EC">
        <w:rPr>
          <w:rFonts w:eastAsia="SimSun" w:cs="Times New Roman"/>
          <w:lang w:val="uk-UA" w:eastAsia="zh-CN"/>
        </w:rPr>
        <w:t xml:space="preserve"> </w:t>
      </w:r>
      <w:r w:rsidR="00DC6F8F">
        <w:rPr>
          <w:rFonts w:eastAsia="SimSun" w:cs="Times New Roman"/>
          <w:lang w:val="uk-UA" w:eastAsia="zh-CN"/>
        </w:rPr>
        <w:t>на</w:t>
      </w:r>
      <w:r w:rsidRPr="00BF43EC">
        <w:rPr>
          <w:rFonts w:eastAsia="SimSun" w:cs="Times New Roman"/>
          <w:lang w:val="uk-UA" w:eastAsia="zh-CN"/>
        </w:rPr>
        <w:t xml:space="preserve"> вул. Це</w:t>
      </w:r>
      <w:r>
        <w:rPr>
          <w:rFonts w:eastAsia="SimSun" w:cs="Times New Roman"/>
          <w:lang w:val="uk-UA" w:eastAsia="zh-CN"/>
        </w:rPr>
        <w:t xml:space="preserve">левича, 16а </w:t>
      </w:r>
      <w:r w:rsidRPr="00BF43EC">
        <w:rPr>
          <w:rFonts w:eastAsia="SimSun" w:cs="Times New Roman"/>
          <w:lang w:val="uk-UA" w:eastAsia="zh-CN"/>
        </w:rPr>
        <w:t>– 974,34 тис. грн;</w:t>
      </w:r>
    </w:p>
    <w:p w:rsidR="00247917" w:rsidRPr="00BF43EC" w:rsidRDefault="00247917" w:rsidP="004D6ED6">
      <w:pPr>
        <w:widowControl w:val="0"/>
        <w:numPr>
          <w:ilvl w:val="0"/>
          <w:numId w:val="24"/>
        </w:numPr>
        <w:tabs>
          <w:tab w:val="clear" w:pos="720"/>
          <w:tab w:val="left" w:pos="993"/>
        </w:tabs>
        <w:suppressAutoHyphens/>
        <w:autoSpaceDE w:val="0"/>
        <w:ind w:left="0" w:firstLine="709"/>
        <w:jc w:val="both"/>
        <w:rPr>
          <w:rFonts w:eastAsia="SimSun" w:cs="Times New Roman"/>
          <w:lang w:val="uk-UA" w:eastAsia="zh-CN"/>
        </w:rPr>
      </w:pPr>
      <w:r>
        <w:rPr>
          <w:rFonts w:eastAsia="SimSun" w:cs="Times New Roman"/>
          <w:lang w:val="uk-UA" w:eastAsia="zh-CN"/>
        </w:rPr>
        <w:t xml:space="preserve">капітальний ремонт </w:t>
      </w:r>
      <w:r w:rsidRPr="00BF43EC">
        <w:rPr>
          <w:rFonts w:eastAsia="SimSun" w:cs="Times New Roman"/>
          <w:lang w:val="uk-UA" w:eastAsia="zh-CN"/>
        </w:rPr>
        <w:t xml:space="preserve">ДНЗ №4 </w:t>
      </w:r>
      <w:r>
        <w:rPr>
          <w:rFonts w:eastAsia="SimSun" w:cs="Times New Roman"/>
          <w:lang w:val="uk-UA" w:eastAsia="zh-CN"/>
        </w:rPr>
        <w:t>"</w:t>
      </w:r>
      <w:r w:rsidRPr="00BF43EC">
        <w:rPr>
          <w:rFonts w:eastAsia="SimSun" w:cs="Times New Roman"/>
          <w:lang w:val="uk-UA" w:eastAsia="zh-CN"/>
        </w:rPr>
        <w:t>Калинова сопілка</w:t>
      </w:r>
      <w:r>
        <w:rPr>
          <w:rFonts w:eastAsia="SimSun" w:cs="Times New Roman"/>
          <w:lang w:val="uk-UA" w:eastAsia="zh-CN"/>
        </w:rPr>
        <w:t xml:space="preserve">" </w:t>
      </w:r>
      <w:r w:rsidR="00DC6F8F">
        <w:rPr>
          <w:rFonts w:eastAsia="SimSun" w:cs="Times New Roman"/>
          <w:lang w:val="uk-UA" w:eastAsia="zh-CN"/>
        </w:rPr>
        <w:t>на</w:t>
      </w:r>
      <w:r>
        <w:rPr>
          <w:rFonts w:eastAsia="SimSun" w:cs="Times New Roman"/>
          <w:lang w:val="uk-UA" w:eastAsia="zh-CN"/>
        </w:rPr>
        <w:t xml:space="preserve"> вул. Вовчинецькій, 133 </w:t>
      </w:r>
      <w:r w:rsidRPr="00BF43EC">
        <w:rPr>
          <w:rFonts w:eastAsia="SimSun" w:cs="Times New Roman"/>
          <w:lang w:val="uk-UA" w:eastAsia="zh-CN"/>
        </w:rPr>
        <w:t>– 896,33 тис. грн</w:t>
      </w:r>
      <w:r>
        <w:rPr>
          <w:rFonts w:eastAsia="SimSun" w:cs="Times New Roman"/>
          <w:lang w:val="uk-UA" w:eastAsia="zh-CN"/>
        </w:rPr>
        <w:t xml:space="preserve">; </w:t>
      </w:r>
    </w:p>
    <w:p w:rsidR="00247917" w:rsidRPr="00BF43EC" w:rsidRDefault="00247917" w:rsidP="004D6ED6">
      <w:pPr>
        <w:widowControl w:val="0"/>
        <w:numPr>
          <w:ilvl w:val="0"/>
          <w:numId w:val="24"/>
        </w:numPr>
        <w:tabs>
          <w:tab w:val="clear" w:pos="720"/>
          <w:tab w:val="left" w:pos="993"/>
        </w:tabs>
        <w:suppressAutoHyphens/>
        <w:autoSpaceDE w:val="0"/>
        <w:ind w:left="0" w:firstLine="709"/>
        <w:jc w:val="both"/>
        <w:rPr>
          <w:rFonts w:eastAsia="SimSun" w:cs="Times New Roman"/>
          <w:lang w:val="uk-UA" w:eastAsia="zh-CN"/>
        </w:rPr>
      </w:pPr>
      <w:r>
        <w:rPr>
          <w:rFonts w:eastAsia="SimSun" w:cs="Times New Roman"/>
          <w:lang w:val="uk-UA" w:eastAsia="zh-CN"/>
        </w:rPr>
        <w:t xml:space="preserve">капітальний ремонт </w:t>
      </w:r>
      <w:r w:rsidRPr="00BF43EC">
        <w:rPr>
          <w:rFonts w:eastAsia="SimSun" w:cs="Times New Roman"/>
          <w:lang w:val="uk-UA" w:eastAsia="zh-CN"/>
        </w:rPr>
        <w:t xml:space="preserve">ДНЗ №33 </w:t>
      </w:r>
      <w:r>
        <w:rPr>
          <w:rFonts w:eastAsia="SimSun" w:cs="Times New Roman"/>
          <w:lang w:val="uk-UA" w:eastAsia="zh-CN"/>
        </w:rPr>
        <w:t>"</w:t>
      </w:r>
      <w:r w:rsidRPr="00BF43EC">
        <w:rPr>
          <w:rFonts w:eastAsia="SimSun" w:cs="Times New Roman"/>
          <w:lang w:val="uk-UA" w:eastAsia="zh-CN"/>
        </w:rPr>
        <w:t>Кристалик</w:t>
      </w:r>
      <w:r>
        <w:rPr>
          <w:rFonts w:eastAsia="SimSun" w:cs="Times New Roman"/>
          <w:lang w:val="uk-UA" w:eastAsia="zh-CN"/>
        </w:rPr>
        <w:t>"</w:t>
      </w:r>
      <w:r w:rsidRPr="00BF43EC">
        <w:rPr>
          <w:rFonts w:eastAsia="SimSun" w:cs="Times New Roman"/>
          <w:lang w:val="uk-UA" w:eastAsia="zh-CN"/>
        </w:rPr>
        <w:t xml:space="preserve"> </w:t>
      </w:r>
      <w:r w:rsidR="00DC6F8F">
        <w:rPr>
          <w:rFonts w:eastAsia="SimSun" w:cs="Times New Roman"/>
          <w:lang w:val="uk-UA" w:eastAsia="zh-CN"/>
        </w:rPr>
        <w:t>на</w:t>
      </w:r>
      <w:r w:rsidRPr="00BF43EC">
        <w:rPr>
          <w:rFonts w:eastAsia="SimSun" w:cs="Times New Roman"/>
          <w:lang w:val="uk-UA" w:eastAsia="zh-CN"/>
        </w:rPr>
        <w:t xml:space="preserve"> вул. Вовчинецькій, 198а</w:t>
      </w:r>
      <w:r>
        <w:rPr>
          <w:rFonts w:eastAsia="SimSun" w:cs="Times New Roman"/>
          <w:lang w:val="uk-UA" w:eastAsia="zh-CN"/>
        </w:rPr>
        <w:t>,</w:t>
      </w:r>
      <w:r w:rsidRPr="00BF43EC">
        <w:rPr>
          <w:rFonts w:eastAsia="SimSun" w:cs="Times New Roman"/>
          <w:lang w:val="uk-UA" w:eastAsia="zh-CN"/>
        </w:rPr>
        <w:t xml:space="preserve"> капітальний ремонт навчально-реабілітаційного центру на вул. Гната Хоткевича, 52а – 1</w:t>
      </w:r>
      <w:r>
        <w:rPr>
          <w:rFonts w:eastAsia="SimSun" w:cs="Times New Roman"/>
          <w:lang w:val="uk-UA" w:eastAsia="zh-CN"/>
        </w:rPr>
        <w:t xml:space="preserve"> </w:t>
      </w:r>
      <w:r w:rsidRPr="00BF43EC">
        <w:rPr>
          <w:rFonts w:eastAsia="SimSun" w:cs="Times New Roman"/>
          <w:lang w:val="uk-UA" w:eastAsia="zh-CN"/>
        </w:rPr>
        <w:t>852,64 тис. грн</w:t>
      </w:r>
      <w:r>
        <w:rPr>
          <w:rFonts w:eastAsia="SimSun" w:cs="Times New Roman"/>
          <w:lang w:val="uk-UA" w:eastAsia="zh-CN"/>
        </w:rPr>
        <w:t>.</w:t>
      </w:r>
    </w:p>
    <w:p w:rsidR="00247917" w:rsidRPr="006079AE" w:rsidRDefault="00247917" w:rsidP="00247917">
      <w:pPr>
        <w:pStyle w:val="af1"/>
        <w:ind w:left="0" w:firstLine="709"/>
        <w:jc w:val="both"/>
        <w:rPr>
          <w:sz w:val="28"/>
          <w:szCs w:val="28"/>
        </w:rPr>
      </w:pPr>
      <w:r w:rsidRPr="00BF43EC">
        <w:rPr>
          <w:rFonts w:eastAsia="SimSun"/>
          <w:sz w:val="28"/>
          <w:szCs w:val="28"/>
          <w:lang w:val="uk-UA" w:eastAsia="zh-CN"/>
        </w:rPr>
        <w:t xml:space="preserve">Крім того, за грантові кошти, які надані </w:t>
      </w:r>
      <w:r w:rsidRPr="00BF43EC">
        <w:rPr>
          <w:sz w:val="28"/>
          <w:szCs w:val="28"/>
          <w:lang w:val="uk-UA"/>
        </w:rPr>
        <w:t>Фондом Східноєвропейського партнерства з енергоефективності та довкілля виконано заміну та ремонт системи опалення із встановленням ІТП у вищезазначених закладах.</w:t>
      </w:r>
    </w:p>
    <w:p w:rsidR="00247917" w:rsidRPr="00FF534E" w:rsidRDefault="00247917" w:rsidP="00247917">
      <w:pPr>
        <w:ind w:firstLine="708"/>
        <w:jc w:val="both"/>
        <w:rPr>
          <w:color w:val="FF0000"/>
          <w:lang w:val="uk-UA"/>
        </w:rPr>
      </w:pPr>
      <w:r w:rsidRPr="00FF534E">
        <w:rPr>
          <w:lang w:val="uk-UA"/>
        </w:rPr>
        <w:t>У рамках впровадження ІІ-го етапу проекту, який охоплює  44 заклади освіти (14 ДНЗ, 20 ЗОШ, школу-садочок №6, гімназії №1, 2 та 3, природничий ліцей, приміщення Департаменту освіти і науки, три заклади культури, поліклініку №4)</w:t>
      </w:r>
      <w:r w:rsidR="00187902">
        <w:rPr>
          <w:lang w:val="uk-UA"/>
        </w:rPr>
        <w:t>,</w:t>
      </w:r>
      <w:r w:rsidRPr="00FF534E">
        <w:rPr>
          <w:lang w:val="uk-UA"/>
        </w:rPr>
        <w:t xml:space="preserve"> </w:t>
      </w:r>
      <w:r w:rsidRPr="005F06F7">
        <w:rPr>
          <w:color w:val="000000" w:themeColor="text1"/>
          <w:lang w:val="uk-UA"/>
        </w:rPr>
        <w:t xml:space="preserve">тендер на капітальний ремонт </w:t>
      </w:r>
      <w:r>
        <w:rPr>
          <w:color w:val="000000" w:themeColor="text1"/>
          <w:lang w:val="uk-UA"/>
        </w:rPr>
        <w:t xml:space="preserve">4-х ЗОШ (ЗОШ №8, 13, 22 та НВК </w:t>
      </w:r>
      <w:r w:rsidRPr="005F06F7">
        <w:rPr>
          <w:color w:val="000000" w:themeColor="text1"/>
          <w:lang w:val="uk-UA"/>
        </w:rPr>
        <w:t>Школа-гімназія №3</w:t>
      </w:r>
      <w:r>
        <w:rPr>
          <w:color w:val="000000" w:themeColor="text1"/>
          <w:lang w:val="uk-UA"/>
        </w:rPr>
        <w:t xml:space="preserve">) </w:t>
      </w:r>
      <w:r w:rsidRPr="005F06F7">
        <w:rPr>
          <w:color w:val="000000" w:themeColor="text1"/>
          <w:lang w:val="uk-UA"/>
        </w:rPr>
        <w:t>та на капітал</w:t>
      </w:r>
      <w:r>
        <w:rPr>
          <w:color w:val="000000" w:themeColor="text1"/>
          <w:lang w:val="uk-UA"/>
        </w:rPr>
        <w:t xml:space="preserve">ьний ремонт системи опалення, </w:t>
      </w:r>
      <w:r w:rsidRPr="005F06F7">
        <w:rPr>
          <w:color w:val="000000" w:themeColor="text1"/>
          <w:lang w:val="uk-UA"/>
        </w:rPr>
        <w:t xml:space="preserve">встановлення індивідуальних теплових пунктів (ІТП) у 5-ти школах (ЗОШ №8, 13, 22, 25 та НВК </w:t>
      </w:r>
      <w:r>
        <w:rPr>
          <w:color w:val="000000" w:themeColor="text1"/>
          <w:lang w:val="uk-UA"/>
        </w:rPr>
        <w:t>"</w:t>
      </w:r>
      <w:r w:rsidRPr="005F06F7">
        <w:rPr>
          <w:color w:val="000000" w:themeColor="text1"/>
          <w:lang w:val="uk-UA"/>
        </w:rPr>
        <w:t>Школа-гімназія №3</w:t>
      </w:r>
      <w:r>
        <w:rPr>
          <w:color w:val="000000" w:themeColor="text1"/>
          <w:lang w:val="uk-UA"/>
        </w:rPr>
        <w:t>"</w:t>
      </w:r>
      <w:r w:rsidRPr="005F06F7">
        <w:rPr>
          <w:color w:val="000000" w:themeColor="text1"/>
          <w:lang w:val="uk-UA"/>
        </w:rPr>
        <w:t>) та п</w:t>
      </w:r>
      <w:r>
        <w:rPr>
          <w:color w:val="000000" w:themeColor="text1"/>
          <w:lang w:val="uk-UA"/>
        </w:rPr>
        <w:t>оліклініці №4</w:t>
      </w:r>
      <w:r w:rsidRPr="005F06F7">
        <w:rPr>
          <w:color w:val="000000" w:themeColor="text1"/>
          <w:lang w:val="uk-UA"/>
        </w:rPr>
        <w:t xml:space="preserve"> було відмінено, </w:t>
      </w:r>
      <w:r w:rsidR="00187902">
        <w:rPr>
          <w:color w:val="000000" w:themeColor="text1"/>
          <w:lang w:val="uk-UA"/>
        </w:rPr>
        <w:t>повторний</w:t>
      </w:r>
      <w:r>
        <w:rPr>
          <w:color w:val="000000" w:themeColor="text1"/>
          <w:lang w:val="uk-UA"/>
        </w:rPr>
        <w:t xml:space="preserve"> тендер </w:t>
      </w:r>
      <w:r w:rsidR="00187902">
        <w:rPr>
          <w:color w:val="000000" w:themeColor="text1"/>
          <w:lang w:val="uk-UA"/>
        </w:rPr>
        <w:t>буде оголошено</w:t>
      </w:r>
      <w:r w:rsidRPr="005F06F7">
        <w:rPr>
          <w:color w:val="000000" w:themeColor="text1"/>
          <w:lang w:val="uk-UA"/>
        </w:rPr>
        <w:t xml:space="preserve"> </w:t>
      </w:r>
      <w:r w:rsidR="00187902">
        <w:rPr>
          <w:color w:val="000000" w:themeColor="text1"/>
          <w:lang w:val="uk-UA"/>
        </w:rPr>
        <w:t>у</w:t>
      </w:r>
      <w:r w:rsidRPr="005F06F7">
        <w:rPr>
          <w:color w:val="000000" w:themeColor="text1"/>
          <w:lang w:val="uk-UA"/>
        </w:rPr>
        <w:t xml:space="preserve"> 2019 р</w:t>
      </w:r>
      <w:r w:rsidR="00187902">
        <w:rPr>
          <w:color w:val="000000" w:themeColor="text1"/>
          <w:lang w:val="uk-UA"/>
        </w:rPr>
        <w:t>оці</w:t>
      </w:r>
      <w:r w:rsidRPr="005F06F7">
        <w:rPr>
          <w:color w:val="000000" w:themeColor="text1"/>
          <w:lang w:val="uk-UA"/>
        </w:rPr>
        <w:t>.</w:t>
      </w:r>
    </w:p>
    <w:p w:rsidR="00D85F61" w:rsidRPr="00720DC2" w:rsidRDefault="00D85F61" w:rsidP="00D85F61">
      <w:pPr>
        <w:pStyle w:val="ac"/>
        <w:ind w:firstLine="567"/>
        <w:jc w:val="both"/>
        <w:rPr>
          <w:rFonts w:ascii="Times New Roman" w:hAnsi="Times New Roman"/>
          <w:lang w:val="uk-UA"/>
        </w:rPr>
      </w:pPr>
      <w:r w:rsidRPr="00720DC2">
        <w:rPr>
          <w:rFonts w:ascii="Times New Roman" w:hAnsi="Times New Roman"/>
          <w:lang w:val="uk-UA"/>
        </w:rPr>
        <w:t xml:space="preserve">У рамках проекту Європейського банку реконструкції та розвитку  </w:t>
      </w:r>
      <w:r w:rsidR="00D4778A" w:rsidRPr="00720DC2">
        <w:rPr>
          <w:rFonts w:ascii="Times New Roman" w:hAnsi="Times New Roman"/>
          <w:lang w:val="uk-UA"/>
        </w:rPr>
        <w:t>"</w:t>
      </w:r>
      <w:r w:rsidRPr="00720DC2">
        <w:rPr>
          <w:rFonts w:ascii="Times New Roman" w:hAnsi="Times New Roman"/>
          <w:lang w:val="uk-UA"/>
        </w:rPr>
        <w:t>Підтримка інвестицій у систему сталого управління твердими побутовими відходами та їх переробки в Україні</w:t>
      </w:r>
      <w:r w:rsidR="00D4778A" w:rsidRPr="00720DC2">
        <w:rPr>
          <w:rFonts w:ascii="Times New Roman" w:hAnsi="Times New Roman"/>
          <w:lang w:val="uk-UA"/>
        </w:rPr>
        <w:t>"</w:t>
      </w:r>
      <w:r w:rsidRPr="00720DC2">
        <w:rPr>
          <w:rFonts w:ascii="Times New Roman" w:hAnsi="Times New Roman"/>
          <w:lang w:val="uk-UA"/>
        </w:rPr>
        <w:t xml:space="preserve"> проведено ряд робочих зустрічей на запрошення ЄБРР з експертами компанії Rambol та розроблений план приведення діючого полігону у відповідність до екологічних вимог. Також розроблені рекомендації щодо запровадження нової моделі поводження з ТПВ в місті та області в цілому. </w:t>
      </w:r>
    </w:p>
    <w:p w:rsidR="00183E22" w:rsidRPr="00720DC2" w:rsidRDefault="00183E22" w:rsidP="00183E22">
      <w:pPr>
        <w:ind w:firstLine="705"/>
        <w:jc w:val="both"/>
        <w:rPr>
          <w:szCs w:val="22"/>
          <w:lang w:val="uk-UA"/>
        </w:rPr>
      </w:pPr>
      <w:r w:rsidRPr="00720DC2">
        <w:rPr>
          <w:lang w:val="uk-UA"/>
        </w:rPr>
        <w:t xml:space="preserve">Підготовлено пропозиції щодо реалізації 2-х проектів спільно з іспанськими підприємцями та японською компанією </w:t>
      </w:r>
      <w:r w:rsidR="00D4778A" w:rsidRPr="00720DC2">
        <w:rPr>
          <w:lang w:val="uk-UA"/>
        </w:rPr>
        <w:t>"</w:t>
      </w:r>
      <w:r w:rsidRPr="00720DC2">
        <w:rPr>
          <w:lang w:val="uk-UA"/>
        </w:rPr>
        <w:t>Марубені Корпорейшн</w:t>
      </w:r>
      <w:r w:rsidR="00D4778A" w:rsidRPr="00720DC2">
        <w:rPr>
          <w:lang w:val="uk-UA"/>
        </w:rPr>
        <w:t>"</w:t>
      </w:r>
      <w:r w:rsidRPr="00720DC2">
        <w:rPr>
          <w:lang w:val="uk-UA"/>
        </w:rPr>
        <w:t xml:space="preserve"> з переробки твердих побутових відходів та виробництва електричної і теплової енергії з осаду стічних вод на очисних спорудах КП </w:t>
      </w:r>
      <w:r w:rsidR="00D4778A" w:rsidRPr="00720DC2">
        <w:rPr>
          <w:lang w:val="uk-UA"/>
        </w:rPr>
        <w:t>"</w:t>
      </w:r>
      <w:r w:rsidRPr="00720DC2">
        <w:rPr>
          <w:lang w:val="uk-UA"/>
        </w:rPr>
        <w:t>Івано-Франківськводоекотехпром</w:t>
      </w:r>
      <w:r w:rsidR="00D4778A" w:rsidRPr="00720DC2">
        <w:rPr>
          <w:lang w:val="uk-UA"/>
        </w:rPr>
        <w:t>"</w:t>
      </w:r>
      <w:r w:rsidRPr="00720DC2">
        <w:rPr>
          <w:lang w:val="uk-UA"/>
        </w:rPr>
        <w:t xml:space="preserve">. </w:t>
      </w:r>
    </w:p>
    <w:p w:rsidR="00183E22" w:rsidRPr="00720DC2" w:rsidRDefault="00183E22" w:rsidP="00183E22">
      <w:pPr>
        <w:widowControl w:val="0"/>
        <w:ind w:firstLine="709"/>
        <w:jc w:val="both"/>
        <w:rPr>
          <w:lang w:val="uk-UA"/>
        </w:rPr>
      </w:pPr>
      <w:r w:rsidRPr="00720DC2">
        <w:rPr>
          <w:lang w:val="uk-UA"/>
        </w:rPr>
        <w:t xml:space="preserve">Підготовлено перелік пунктів приймання вторсировини, розташованих на території міста, із зазначенням її видів. Дану інформацію розміщено на офіційному сайті міста у розділі </w:t>
      </w:r>
      <w:r w:rsidR="00D4778A" w:rsidRPr="00720DC2">
        <w:rPr>
          <w:lang w:val="uk-UA"/>
        </w:rPr>
        <w:t>"</w:t>
      </w:r>
      <w:r w:rsidRPr="00720DC2">
        <w:rPr>
          <w:lang w:val="uk-UA"/>
        </w:rPr>
        <w:t>Діяльність з енергозбереження та екології</w:t>
      </w:r>
      <w:r w:rsidR="00D4778A" w:rsidRPr="00720DC2">
        <w:rPr>
          <w:lang w:val="uk-UA"/>
        </w:rPr>
        <w:t>"</w:t>
      </w:r>
      <w:r w:rsidRPr="00720DC2">
        <w:rPr>
          <w:lang w:val="uk-UA"/>
        </w:rPr>
        <w:t>, а також подано в управління екології та природних ресурсів облдержадміністрації для розміщення на сайті Мінприроди України.</w:t>
      </w:r>
    </w:p>
    <w:p w:rsidR="00183E22" w:rsidRPr="00720DC2" w:rsidRDefault="000E4BE1" w:rsidP="003A46C2">
      <w:pPr>
        <w:ind w:firstLine="700"/>
        <w:jc w:val="both"/>
        <w:outlineLvl w:val="0"/>
        <w:rPr>
          <w:lang w:val="uk-UA"/>
        </w:rPr>
      </w:pPr>
      <w:r w:rsidRPr="00720DC2">
        <w:rPr>
          <w:lang w:val="uk-UA"/>
        </w:rPr>
        <w:t>З</w:t>
      </w:r>
      <w:r w:rsidR="003A46C2" w:rsidRPr="00720DC2">
        <w:rPr>
          <w:lang w:val="uk-UA"/>
        </w:rPr>
        <w:t xml:space="preserve"> обласного фонду навколишнього природного середовища у 2018 році виділено 1325 тис.грн. </w:t>
      </w:r>
      <w:r w:rsidRPr="00720DC2">
        <w:rPr>
          <w:lang w:val="uk-UA"/>
        </w:rPr>
        <w:t xml:space="preserve">(було подано 14 запитів на загальну суму 22095,0 тис. грн.) </w:t>
      </w:r>
      <w:r w:rsidR="003A46C2" w:rsidRPr="00720DC2">
        <w:rPr>
          <w:lang w:val="uk-UA"/>
        </w:rPr>
        <w:t xml:space="preserve">на реалізацію природоохоронних заходів: проведення заходів з озеленення с.Микитинці (на території комунального дошкільного навчального закладу №25 "Янголятко" Івано-Франківської міської ради); придбання обладнання (контейнерів) для збору твердих побутових відходів на території Івано-Франківської міської ради (с.Крихівці); оснащення Івано-Франківської міської дитячої екологічної станції приладами, обладнанням, інвентарем; придбання посадкового матеріалу для озеленення території </w:t>
      </w:r>
      <w:r w:rsidR="003A46C2" w:rsidRPr="00720DC2">
        <w:rPr>
          <w:lang w:val="uk-UA"/>
        </w:rPr>
        <w:lastRenderedPageBreak/>
        <w:t xml:space="preserve">Івано-Франківської міської дитячої екологічної станції; проведення заходів з охорони підземних вод та ліквідації джерел їх забруднення на території спортивної школи №3 </w:t>
      </w:r>
      <w:r w:rsidR="00187902">
        <w:rPr>
          <w:lang w:val="uk-UA"/>
        </w:rPr>
        <w:t>на</w:t>
      </w:r>
      <w:r w:rsidR="003A46C2" w:rsidRPr="00720DC2">
        <w:rPr>
          <w:lang w:val="uk-UA"/>
        </w:rPr>
        <w:t xml:space="preserve"> вул. Незалежності, 152б (</w:t>
      </w:r>
      <w:r w:rsidR="003A2BDB" w:rsidRPr="00720DC2">
        <w:rPr>
          <w:lang w:val="uk-UA"/>
        </w:rPr>
        <w:t>у</w:t>
      </w:r>
      <w:r w:rsidR="003A46C2" w:rsidRPr="00720DC2">
        <w:rPr>
          <w:lang w:val="uk-UA"/>
        </w:rPr>
        <w:t xml:space="preserve"> т.ч. виготовлення проектно-кошторисної документації).</w:t>
      </w:r>
    </w:p>
    <w:p w:rsidR="00B65202" w:rsidRPr="00720DC2" w:rsidRDefault="00B65202" w:rsidP="00B65202">
      <w:pPr>
        <w:ind w:firstLine="705"/>
        <w:jc w:val="both"/>
        <w:rPr>
          <w:lang w:val="uk-UA"/>
        </w:rPr>
      </w:pPr>
      <w:r w:rsidRPr="00720DC2">
        <w:rPr>
          <w:lang w:val="uk-UA"/>
        </w:rPr>
        <w:t>Ініційовано та проведено у закладах освіти численні заходи, пов’язані з відзначенням Міжнародного дня біорізноманіття, проведенням Днів сталої енергії. О</w:t>
      </w:r>
      <w:r w:rsidRPr="00720DC2">
        <w:rPr>
          <w:lang w:val="uk-UA" w:eastAsia="uk-UA"/>
        </w:rPr>
        <w:t>рганізовано 50 екскурсій в Наукове містечко "Нова енергія" на діючі об’єкти ІФНТУНГ, на яких впроваджені енергоощадні технології, проведено 6 лекцій про використання альтернативних видів енергії та сучасні енергоощадні технології, майстер-класи для дітей із складання моделей, у яких використані відновлювані джерела енергії.</w:t>
      </w:r>
    </w:p>
    <w:p w:rsidR="00B65202" w:rsidRPr="00720DC2" w:rsidRDefault="00B65202" w:rsidP="003A46C2">
      <w:pPr>
        <w:ind w:firstLine="700"/>
        <w:jc w:val="both"/>
        <w:outlineLvl w:val="0"/>
        <w:rPr>
          <w:highlight w:val="yellow"/>
          <w:lang w:val="uk-UA"/>
        </w:rPr>
      </w:pPr>
    </w:p>
    <w:p w:rsidR="00183E22" w:rsidRPr="00720DC2" w:rsidRDefault="00183E22" w:rsidP="00183E22">
      <w:pPr>
        <w:ind w:firstLine="700"/>
        <w:jc w:val="both"/>
        <w:outlineLvl w:val="0"/>
        <w:rPr>
          <w:i/>
          <w:lang w:val="uk-UA"/>
        </w:rPr>
      </w:pPr>
      <w:r w:rsidRPr="00720DC2">
        <w:rPr>
          <w:i/>
          <w:lang w:val="uk-UA"/>
        </w:rPr>
        <w:t xml:space="preserve">2.3 Дорожнє господарство та транспорт </w:t>
      </w:r>
    </w:p>
    <w:p w:rsidR="000E54E7" w:rsidRPr="00720DC2" w:rsidRDefault="000E54E7" w:rsidP="000E54E7">
      <w:pPr>
        <w:ind w:firstLine="709"/>
        <w:jc w:val="both"/>
        <w:rPr>
          <w:rFonts w:eastAsia="Times New Roman" w:cs="Times New Roman"/>
          <w:lang w:val="uk-UA" w:eastAsia="ru-RU"/>
        </w:rPr>
      </w:pPr>
      <w:r w:rsidRPr="00720DC2">
        <w:rPr>
          <w:rFonts w:eastAsia="Times New Roman" w:cs="Times New Roman"/>
          <w:lang w:val="uk-UA" w:eastAsia="ru-RU"/>
        </w:rPr>
        <w:t>Основні зусилля у розвитку дорожньо-траснпортної інфраструктури у 2018 році були спрямовані на проведення капітальних та поточних ремонтів доріг.</w:t>
      </w:r>
    </w:p>
    <w:p w:rsidR="000E54E7" w:rsidRPr="00720DC2" w:rsidRDefault="000E54E7" w:rsidP="000E54E7">
      <w:pPr>
        <w:ind w:firstLine="709"/>
        <w:jc w:val="both"/>
        <w:rPr>
          <w:lang w:val="uk-UA"/>
        </w:rPr>
      </w:pPr>
      <w:r w:rsidRPr="00720DC2">
        <w:rPr>
          <w:rFonts w:eastAsia="Times New Roman" w:cs="Times New Roman"/>
          <w:lang w:val="uk-UA" w:eastAsia="ru-RU"/>
        </w:rPr>
        <w:t>Зокрема, проведено роботи з капітального ремонту вулиць Дучимінської, Княгинин, Паркова, Сухомлинського, Павлика</w:t>
      </w:r>
      <w:r w:rsidR="002624F0" w:rsidRPr="00720DC2">
        <w:rPr>
          <w:rFonts w:eastAsia="Times New Roman" w:cs="Times New Roman"/>
          <w:lang w:val="uk-UA" w:eastAsia="ru-RU"/>
        </w:rPr>
        <w:t>, Вовчинецької (на ділянці від вул.Сагайдачного до вул.Дучимінської)</w:t>
      </w:r>
      <w:r w:rsidRPr="00720DC2">
        <w:rPr>
          <w:rFonts w:eastAsia="Times New Roman" w:cs="Times New Roman"/>
          <w:lang w:val="uk-UA" w:eastAsia="ru-RU"/>
        </w:rPr>
        <w:t>. З</w:t>
      </w:r>
      <w:r w:rsidRPr="00720DC2">
        <w:rPr>
          <w:lang w:val="uk-UA"/>
        </w:rPr>
        <w:t xml:space="preserve">авершено роботи дорожнього покриття на площі Міцкевича, вулиць Лесі Українки, Любачівського, Станіславської, Карпатської Січі, поблизу ТОВ "Тайко Електронікс", Тисменицької в с.Хриплин. </w:t>
      </w:r>
      <w:r w:rsidR="00D00702" w:rsidRPr="00720DC2">
        <w:rPr>
          <w:lang w:val="uk-UA"/>
        </w:rPr>
        <w:t>З</w:t>
      </w:r>
      <w:r w:rsidR="00D00702" w:rsidRPr="00720DC2">
        <w:rPr>
          <w:rFonts w:eastAsia="Times New Roman" w:cs="Times New Roman"/>
          <w:lang w:val="uk-UA" w:eastAsia="ru-RU"/>
        </w:rPr>
        <w:t xml:space="preserve">авершуються роботи з будівництва 2 вулиць: вул. 24 Серпня, вул.В.Стуса (на ділянці від вул.Миколайчука до вул.24 Серпня). </w:t>
      </w:r>
      <w:r w:rsidRPr="00720DC2">
        <w:rPr>
          <w:lang w:val="uk-UA"/>
        </w:rPr>
        <w:t>Т</w:t>
      </w:r>
      <w:r w:rsidRPr="00720DC2">
        <w:rPr>
          <w:rFonts w:eastAsia="Times New Roman" w:cs="Times New Roman"/>
          <w:lang w:val="uk-UA" w:eastAsia="ru-RU"/>
        </w:rPr>
        <w:t>риває капітальний ремонт вулиць Коперніка, Вовчинецької</w:t>
      </w:r>
      <w:r w:rsidR="002624F0" w:rsidRPr="00720DC2">
        <w:rPr>
          <w:rFonts w:eastAsia="Times New Roman" w:cs="Times New Roman"/>
          <w:lang w:val="uk-UA" w:eastAsia="ru-RU"/>
        </w:rPr>
        <w:t xml:space="preserve"> (на ділянці від Дучимінської до вул.Симиренка)</w:t>
      </w:r>
      <w:r w:rsidRPr="00720DC2">
        <w:rPr>
          <w:rFonts w:eastAsia="Times New Roman" w:cs="Times New Roman"/>
          <w:lang w:val="uk-UA" w:eastAsia="ru-RU"/>
        </w:rPr>
        <w:t xml:space="preserve">, </w:t>
      </w:r>
      <w:r w:rsidR="00D00702" w:rsidRPr="00720DC2">
        <w:rPr>
          <w:lang w:val="uk-UA"/>
        </w:rPr>
        <w:t>Гетьмана Мазепи, Слави Стецько,</w:t>
      </w:r>
      <w:r w:rsidR="00D00702" w:rsidRPr="00720DC2">
        <w:rPr>
          <w:rFonts w:eastAsia="Times New Roman" w:cs="Times New Roman"/>
          <w:lang w:val="uk-UA" w:eastAsia="ru-RU"/>
        </w:rPr>
        <w:t xml:space="preserve"> </w:t>
      </w:r>
      <w:r w:rsidRPr="00720DC2">
        <w:rPr>
          <w:rFonts w:eastAsia="Times New Roman" w:cs="Times New Roman"/>
          <w:lang w:val="uk-UA" w:eastAsia="ru-RU"/>
        </w:rPr>
        <w:t>Левинського, Військових Ветеранів, Галицької</w:t>
      </w:r>
      <w:r w:rsidR="00A72798" w:rsidRPr="00720DC2">
        <w:rPr>
          <w:rFonts w:eastAsia="Times New Roman" w:cs="Times New Roman"/>
          <w:lang w:val="uk-UA" w:eastAsia="ru-RU"/>
        </w:rPr>
        <w:t xml:space="preserve"> (від розʼїзду на Калуське шосе до вул.Хіміків)</w:t>
      </w:r>
      <w:r w:rsidRPr="00720DC2">
        <w:rPr>
          <w:rFonts w:eastAsia="Times New Roman" w:cs="Times New Roman"/>
          <w:lang w:val="uk-UA" w:eastAsia="ru-RU"/>
        </w:rPr>
        <w:t>, Макогона, Млинарської, Надрічної (старої частини), Підгірянки (на ділянці від вул. Стефаника до вул. Незалежності), Індустріальної, Республіканської</w:t>
      </w:r>
      <w:r w:rsidR="002620AD" w:rsidRPr="00720DC2">
        <w:rPr>
          <w:rFonts w:eastAsia="Times New Roman" w:cs="Times New Roman"/>
          <w:lang w:val="uk-UA" w:eastAsia="ru-RU"/>
        </w:rPr>
        <w:t xml:space="preserve">. </w:t>
      </w:r>
      <w:r w:rsidR="00D00702" w:rsidRPr="00720DC2">
        <w:rPr>
          <w:rFonts w:eastAsia="Times New Roman" w:cs="Times New Roman"/>
          <w:lang w:val="uk-UA" w:eastAsia="ru-RU"/>
        </w:rPr>
        <w:t>Розпочато роботи по вул.Макогона та вул.Ушинського.</w:t>
      </w:r>
      <w:r w:rsidR="003705FE" w:rsidRPr="00720DC2">
        <w:rPr>
          <w:rFonts w:eastAsia="Times New Roman" w:cs="Times New Roman"/>
          <w:lang w:val="uk-UA" w:eastAsia="ru-RU"/>
        </w:rPr>
        <w:t xml:space="preserve"> Розробляється проектно-кошторисна документація на капітальний ремонт вул.Озаркевича, вул.Крайківського, вул.Надрічної (старої частини), а також на реконструкцію вул.Івасюка з влаштуванням велодоріжки.</w:t>
      </w:r>
    </w:p>
    <w:p w:rsidR="000E54E7" w:rsidRPr="00720DC2" w:rsidRDefault="000E54E7" w:rsidP="000E54E7">
      <w:pPr>
        <w:ind w:firstLine="700"/>
        <w:jc w:val="both"/>
        <w:rPr>
          <w:lang w:val="uk-UA"/>
        </w:rPr>
      </w:pPr>
      <w:r w:rsidRPr="00720DC2">
        <w:rPr>
          <w:lang w:val="uk-UA"/>
        </w:rPr>
        <w:t>Значна увага приділялась поточному ремонту доріг. Зокрема, проведено поточний ремонт вулиці Євгена Коновальця на ділянці від вул. Січових Стрільців до а</w:t>
      </w:r>
      <w:r w:rsidR="00E73CC3" w:rsidRPr="00720DC2">
        <w:rPr>
          <w:lang w:val="uk-UA"/>
        </w:rPr>
        <w:t>еропорту</w:t>
      </w:r>
      <w:r w:rsidRPr="00720DC2">
        <w:rPr>
          <w:lang w:val="uk-UA"/>
        </w:rPr>
        <w:t xml:space="preserve">. </w:t>
      </w:r>
      <w:r w:rsidR="00E73CC3" w:rsidRPr="00720DC2">
        <w:rPr>
          <w:lang w:val="uk-UA"/>
        </w:rPr>
        <w:t>У</w:t>
      </w:r>
      <w:r w:rsidRPr="00720DC2">
        <w:rPr>
          <w:lang w:val="uk-UA"/>
        </w:rPr>
        <w:t xml:space="preserve"> рамках здійснення поточного ремонту </w:t>
      </w:r>
      <w:r w:rsidR="00E73CC3" w:rsidRPr="00720DC2">
        <w:rPr>
          <w:lang w:val="uk-UA"/>
        </w:rPr>
        <w:t>проводилася забивка глибоких ям,</w:t>
      </w:r>
      <w:r w:rsidRPr="00720DC2">
        <w:rPr>
          <w:lang w:val="uk-UA"/>
        </w:rPr>
        <w:t xml:space="preserve"> ремонт асфальтобетонного покриття обладнанням </w:t>
      </w:r>
      <w:r w:rsidR="00E73CC3" w:rsidRPr="00720DC2">
        <w:rPr>
          <w:lang w:val="uk-UA"/>
        </w:rPr>
        <w:t>для ямкового ремонту MADPATCHER,</w:t>
      </w:r>
      <w:r w:rsidRPr="00720DC2">
        <w:rPr>
          <w:lang w:val="uk-UA"/>
        </w:rPr>
        <w:t xml:space="preserve"> профілювання та коткування щебеневих доріг як з додаванням, так і</w:t>
      </w:r>
      <w:r w:rsidR="00E73CC3" w:rsidRPr="00720DC2">
        <w:rPr>
          <w:lang w:val="uk-UA"/>
        </w:rPr>
        <w:t xml:space="preserve"> без додавання нових матеріалів, ремонт та підняття люків,</w:t>
      </w:r>
      <w:r w:rsidRPr="00720DC2">
        <w:rPr>
          <w:lang w:val="uk-UA"/>
        </w:rPr>
        <w:t xml:space="preserve"> ремонт покриття з тротуарної плитки.</w:t>
      </w:r>
    </w:p>
    <w:p w:rsidR="000E54E7" w:rsidRPr="00720DC2" w:rsidRDefault="00302A16" w:rsidP="000E54E7">
      <w:pPr>
        <w:ind w:firstLine="709"/>
        <w:jc w:val="both"/>
        <w:rPr>
          <w:lang w:val="uk-UA" w:eastAsia="ru-RU"/>
        </w:rPr>
      </w:pPr>
      <w:r w:rsidRPr="00720DC2">
        <w:rPr>
          <w:lang w:val="uk-UA" w:eastAsia="ru-RU"/>
        </w:rPr>
        <w:t>Триває</w:t>
      </w:r>
      <w:r w:rsidR="000E54E7" w:rsidRPr="00720DC2">
        <w:rPr>
          <w:lang w:val="uk-UA" w:eastAsia="ru-RU"/>
        </w:rPr>
        <w:t xml:space="preserve"> будівництво моста через річку Бистриця Солотвинська та транспортної розв’язки в районі вул. Хіміків-Надрічна</w:t>
      </w:r>
      <w:r w:rsidRPr="00720DC2">
        <w:rPr>
          <w:lang w:val="uk-UA" w:eastAsia="ru-RU"/>
        </w:rPr>
        <w:t xml:space="preserve"> (ІІІ черга – "Будівництво моста через річку Бистриця Солотвинська в районі вул.Хіміків-Надрічна")</w:t>
      </w:r>
      <w:r w:rsidR="000E54E7" w:rsidRPr="00720DC2">
        <w:rPr>
          <w:lang w:val="uk-UA" w:eastAsia="ru-RU"/>
        </w:rPr>
        <w:t>.</w:t>
      </w:r>
      <w:r w:rsidRPr="00720DC2">
        <w:rPr>
          <w:lang w:val="uk-UA" w:eastAsia="ru-RU"/>
        </w:rPr>
        <w:t xml:space="preserve"> Розробляється проектно-кошторисна документація на "Будівництво транспортної розвʼязки по вул.Надрічна в м.Івано-Франківську" (І черга) та на "Будівництво вулиці Хіміків на ділянці ЗОШ №24 до річки Бистриця Солотвинська в м.Івано-Франківську" (ІІ черга).</w:t>
      </w:r>
    </w:p>
    <w:p w:rsidR="00183E22" w:rsidRPr="00720DC2" w:rsidRDefault="00183E22" w:rsidP="00183E22">
      <w:pPr>
        <w:ind w:firstLine="700"/>
        <w:jc w:val="both"/>
        <w:rPr>
          <w:lang w:val="uk-UA"/>
        </w:rPr>
      </w:pPr>
      <w:r w:rsidRPr="00720DC2">
        <w:rPr>
          <w:lang w:val="uk-UA"/>
        </w:rPr>
        <w:lastRenderedPageBreak/>
        <w:t xml:space="preserve">Автомобільним та тролейбусним транспортом міста у 2018р. надано послуг </w:t>
      </w:r>
      <w:r w:rsidR="00084544" w:rsidRPr="00720DC2">
        <w:rPr>
          <w:lang w:val="uk-UA"/>
        </w:rPr>
        <w:t>4</w:t>
      </w:r>
      <w:r w:rsidR="00FD33D8" w:rsidRPr="00720DC2">
        <w:rPr>
          <w:lang w:val="uk-UA"/>
        </w:rPr>
        <w:t>6</w:t>
      </w:r>
      <w:r w:rsidR="00084544" w:rsidRPr="00720DC2">
        <w:rPr>
          <w:lang w:val="uk-UA"/>
        </w:rPr>
        <w:t>,9</w:t>
      </w:r>
      <w:r w:rsidR="003374F8" w:rsidRPr="00720DC2">
        <w:rPr>
          <w:lang w:val="uk-UA"/>
        </w:rPr>
        <w:t xml:space="preserve"> млн</w:t>
      </w:r>
      <w:r w:rsidR="00661305">
        <w:rPr>
          <w:lang w:val="uk-UA"/>
        </w:rPr>
        <w:t>.</w:t>
      </w:r>
      <w:r w:rsidRPr="00720DC2">
        <w:rPr>
          <w:lang w:val="uk-UA"/>
        </w:rPr>
        <w:t xml:space="preserve"> пасажирів, що на </w:t>
      </w:r>
      <w:r w:rsidR="00084544" w:rsidRPr="00720DC2">
        <w:rPr>
          <w:lang w:val="uk-UA"/>
        </w:rPr>
        <w:t>1</w:t>
      </w:r>
      <w:r w:rsidR="00FD33D8" w:rsidRPr="00720DC2">
        <w:rPr>
          <w:lang w:val="uk-UA"/>
        </w:rPr>
        <w:t>1</w:t>
      </w:r>
      <w:r w:rsidR="00084544" w:rsidRPr="00720DC2">
        <w:rPr>
          <w:lang w:val="uk-UA"/>
        </w:rPr>
        <w:t>,</w:t>
      </w:r>
      <w:r w:rsidR="00FD33D8" w:rsidRPr="00720DC2">
        <w:rPr>
          <w:lang w:val="uk-UA"/>
        </w:rPr>
        <w:t>5</w:t>
      </w:r>
      <w:r w:rsidRPr="00720DC2">
        <w:rPr>
          <w:lang w:val="uk-UA"/>
        </w:rPr>
        <w:t>% більше обсягу пасажирських перевезень попереднього року.</w:t>
      </w:r>
    </w:p>
    <w:p w:rsidR="00183E22" w:rsidRPr="00720DC2" w:rsidRDefault="00183E22" w:rsidP="00183E22">
      <w:pPr>
        <w:ind w:firstLine="700"/>
        <w:jc w:val="both"/>
        <w:rPr>
          <w:lang w:val="uk-UA"/>
        </w:rPr>
      </w:pPr>
      <w:r w:rsidRPr="00720DC2">
        <w:rPr>
          <w:lang w:val="uk-UA"/>
        </w:rPr>
        <w:t xml:space="preserve">Автомобільним транспортом (з урахуванням перевезень, виконаних транспортом фізичних осіб-підприємців) перевезено </w:t>
      </w:r>
      <w:r w:rsidR="00FD33D8" w:rsidRPr="00720DC2">
        <w:rPr>
          <w:lang w:val="uk-UA"/>
        </w:rPr>
        <w:t>30,7</w:t>
      </w:r>
      <w:r w:rsidR="003374F8" w:rsidRPr="00720DC2">
        <w:rPr>
          <w:lang w:val="uk-UA"/>
        </w:rPr>
        <w:t xml:space="preserve"> млн</w:t>
      </w:r>
      <w:r w:rsidR="00661305">
        <w:rPr>
          <w:lang w:val="uk-UA"/>
        </w:rPr>
        <w:t>.</w:t>
      </w:r>
      <w:r w:rsidR="00E62BC6" w:rsidRPr="00720DC2">
        <w:rPr>
          <w:lang w:val="uk-UA"/>
        </w:rPr>
        <w:t xml:space="preserve"> пасажирів, з них </w:t>
      </w:r>
      <w:r w:rsidR="00FD33D8" w:rsidRPr="00720DC2">
        <w:rPr>
          <w:lang w:val="uk-UA"/>
        </w:rPr>
        <w:t>18,7 млн (61</w:t>
      </w:r>
      <w:r w:rsidRPr="00720DC2">
        <w:rPr>
          <w:lang w:val="uk-UA"/>
        </w:rPr>
        <w:t>%) - автотранспортом фізичних осіб-підприємців.</w:t>
      </w:r>
    </w:p>
    <w:p w:rsidR="00183E22" w:rsidRPr="00720DC2" w:rsidRDefault="00183E22" w:rsidP="00183E22">
      <w:pPr>
        <w:ind w:firstLine="700"/>
        <w:jc w:val="both"/>
        <w:rPr>
          <w:lang w:val="uk-UA"/>
        </w:rPr>
      </w:pPr>
      <w:r w:rsidRPr="00720DC2">
        <w:rPr>
          <w:lang w:val="uk-UA"/>
        </w:rPr>
        <w:t xml:space="preserve">Тролейбусним транспортом у 2018р. </w:t>
      </w:r>
      <w:r w:rsidR="00FD33D8" w:rsidRPr="00720DC2">
        <w:rPr>
          <w:lang w:val="uk-UA"/>
        </w:rPr>
        <w:t xml:space="preserve"> </w:t>
      </w:r>
      <w:r w:rsidRPr="00720DC2">
        <w:rPr>
          <w:lang w:val="uk-UA"/>
        </w:rPr>
        <w:t xml:space="preserve">скористалось </w:t>
      </w:r>
      <w:r w:rsidR="00FD33D8" w:rsidRPr="00720DC2">
        <w:rPr>
          <w:lang w:val="uk-UA"/>
        </w:rPr>
        <w:t>16,2</w:t>
      </w:r>
      <w:r w:rsidRPr="00720DC2">
        <w:rPr>
          <w:lang w:val="uk-UA"/>
        </w:rPr>
        <w:t xml:space="preserve"> млн пасажирів, що на 1</w:t>
      </w:r>
      <w:r w:rsidR="00FD33D8" w:rsidRPr="00720DC2">
        <w:rPr>
          <w:lang w:val="uk-UA"/>
        </w:rPr>
        <w:t>3</w:t>
      </w:r>
      <w:r w:rsidRPr="00720DC2">
        <w:rPr>
          <w:lang w:val="uk-UA"/>
        </w:rPr>
        <w:t>,</w:t>
      </w:r>
      <w:r w:rsidR="00FD33D8" w:rsidRPr="00720DC2">
        <w:rPr>
          <w:lang w:val="uk-UA"/>
        </w:rPr>
        <w:t>2</w:t>
      </w:r>
      <w:r w:rsidRPr="00720DC2">
        <w:rPr>
          <w:lang w:val="uk-UA"/>
        </w:rPr>
        <w:t>% більше обсягів 2017р.</w:t>
      </w:r>
    </w:p>
    <w:p w:rsidR="00054631" w:rsidRPr="00720DC2" w:rsidRDefault="00054631" w:rsidP="00054631">
      <w:pPr>
        <w:tabs>
          <w:tab w:val="left" w:pos="620"/>
        </w:tabs>
        <w:jc w:val="both"/>
        <w:rPr>
          <w:lang w:val="uk-UA"/>
        </w:rPr>
      </w:pPr>
      <w:r w:rsidRPr="00720DC2">
        <w:rPr>
          <w:lang w:val="uk-UA"/>
        </w:rPr>
        <w:tab/>
        <w:t xml:space="preserve">Загальна кількість транспортних засобів (автобусів), які обслуговують міські маршрути складає </w:t>
      </w:r>
      <w:r w:rsidRPr="00720DC2">
        <w:rPr>
          <w:bCs/>
          <w:lang w:val="uk-UA"/>
        </w:rPr>
        <w:t>215</w:t>
      </w:r>
      <w:r w:rsidRPr="00720DC2">
        <w:rPr>
          <w:lang w:val="uk-UA"/>
        </w:rPr>
        <w:t xml:space="preserve"> одиниць, з них – 24 одиниці </w:t>
      </w:r>
      <w:r w:rsidRPr="00720DC2">
        <w:rPr>
          <w:bCs/>
          <w:lang w:val="uk-UA"/>
        </w:rPr>
        <w:t>великого класу на маршрутах: № 22</w:t>
      </w:r>
      <w:r w:rsidRPr="00720DC2">
        <w:rPr>
          <w:lang w:val="uk-UA"/>
        </w:rPr>
        <w:t xml:space="preserve"> – </w:t>
      </w:r>
      <w:r w:rsidRPr="00720DC2">
        <w:rPr>
          <w:bCs/>
          <w:lang w:val="uk-UA"/>
        </w:rPr>
        <w:t>10</w:t>
      </w:r>
      <w:r w:rsidRPr="00720DC2">
        <w:rPr>
          <w:lang w:val="uk-UA"/>
        </w:rPr>
        <w:t xml:space="preserve"> автобусів, № 27 – 6</w:t>
      </w:r>
      <w:r w:rsidRPr="00720DC2">
        <w:rPr>
          <w:b/>
          <w:lang w:val="uk-UA"/>
        </w:rPr>
        <w:t xml:space="preserve"> </w:t>
      </w:r>
      <w:r w:rsidRPr="00720DC2">
        <w:rPr>
          <w:lang w:val="uk-UA"/>
        </w:rPr>
        <w:t xml:space="preserve">автобусів, № </w:t>
      </w:r>
      <w:r w:rsidRPr="00720DC2">
        <w:rPr>
          <w:bCs/>
          <w:lang w:val="uk-UA"/>
        </w:rPr>
        <w:t>28 – 8</w:t>
      </w:r>
      <w:r w:rsidRPr="00720DC2">
        <w:rPr>
          <w:b/>
          <w:bCs/>
          <w:lang w:val="uk-UA"/>
        </w:rPr>
        <w:t xml:space="preserve"> </w:t>
      </w:r>
      <w:r w:rsidRPr="00720DC2">
        <w:rPr>
          <w:lang w:val="uk-UA"/>
        </w:rPr>
        <w:t>автобусів.</w:t>
      </w:r>
    </w:p>
    <w:p w:rsidR="00054631" w:rsidRPr="00720DC2" w:rsidRDefault="00054631" w:rsidP="00054631">
      <w:pPr>
        <w:tabs>
          <w:tab w:val="left" w:pos="620"/>
        </w:tabs>
        <w:jc w:val="both"/>
        <w:rPr>
          <w:lang w:val="uk-UA"/>
        </w:rPr>
      </w:pPr>
      <w:r w:rsidRPr="00720DC2">
        <w:rPr>
          <w:lang w:val="uk-UA"/>
        </w:rPr>
        <w:tab/>
        <w:t>Мережа громадського транспорту нараховує 30 автобусних маршрутів та 6 тролейбусних маршрутів.</w:t>
      </w:r>
    </w:p>
    <w:p w:rsidR="00183E22" w:rsidRPr="00720DC2" w:rsidRDefault="00183E22" w:rsidP="00183E22">
      <w:pPr>
        <w:ind w:firstLine="700"/>
        <w:jc w:val="both"/>
        <w:rPr>
          <w:lang w:val="uk-UA"/>
        </w:rPr>
      </w:pPr>
      <w:r w:rsidRPr="00720DC2">
        <w:rPr>
          <w:lang w:val="uk-UA"/>
        </w:rPr>
        <w:t>З метою забезпечення</w:t>
      </w:r>
      <w:r w:rsidRPr="00720DC2">
        <w:rPr>
          <w:lang w:val="uk-UA"/>
        </w:rPr>
        <w:tab/>
        <w:t>дотримання вимог щодо надання послуг з перевезення пасажирів у відповідності до вимог Порядку надання</w:t>
      </w:r>
      <w:r w:rsidRPr="00720DC2">
        <w:rPr>
          <w:w w:val="95"/>
          <w:lang w:val="uk-UA"/>
        </w:rPr>
        <w:t xml:space="preserve"> </w:t>
      </w:r>
      <w:r w:rsidRPr="00720DC2">
        <w:rPr>
          <w:lang w:val="uk-UA"/>
        </w:rPr>
        <w:t>послуг з перевезення пасажирів у міському пасажирському транспорті загального користування міста Івано-Франківська створено рейдову групу з контролю за дотриманням умов, передбачених договорами на перевезення</w:t>
      </w:r>
      <w:r w:rsidRPr="00720DC2">
        <w:rPr>
          <w:w w:val="95"/>
          <w:lang w:val="uk-UA"/>
        </w:rPr>
        <w:t xml:space="preserve"> </w:t>
      </w:r>
      <w:r w:rsidRPr="00720DC2">
        <w:rPr>
          <w:lang w:val="uk-UA"/>
        </w:rPr>
        <w:t>пасажирів на міських автобусних маршрутах. З</w:t>
      </w:r>
      <w:r w:rsidR="00E84A97" w:rsidRPr="00720DC2">
        <w:rPr>
          <w:lang w:val="uk-UA"/>
        </w:rPr>
        <w:t>окрема,</w:t>
      </w:r>
      <w:r w:rsidRPr="00720DC2">
        <w:rPr>
          <w:lang w:val="uk-UA"/>
        </w:rPr>
        <w:t xml:space="preserve"> на перевізників складено 13</w:t>
      </w:r>
      <w:r w:rsidR="00E84A97" w:rsidRPr="00720DC2">
        <w:rPr>
          <w:lang w:val="uk-UA"/>
        </w:rPr>
        <w:t>9</w:t>
      </w:r>
      <w:r w:rsidRPr="00720DC2">
        <w:rPr>
          <w:lang w:val="uk-UA"/>
        </w:rPr>
        <w:t xml:space="preserve"> актів про порушення умов договору на загальну суму 11</w:t>
      </w:r>
      <w:r w:rsidR="00E84A97" w:rsidRPr="00720DC2">
        <w:rPr>
          <w:lang w:val="uk-UA"/>
        </w:rPr>
        <w:t>8</w:t>
      </w:r>
      <w:r w:rsidRPr="00720DC2">
        <w:rPr>
          <w:lang w:val="uk-UA"/>
        </w:rPr>
        <w:t>,</w:t>
      </w:r>
      <w:r w:rsidR="00E84A97" w:rsidRPr="00720DC2">
        <w:rPr>
          <w:lang w:val="uk-UA"/>
        </w:rPr>
        <w:t>2</w:t>
      </w:r>
      <w:r w:rsidRPr="00720DC2">
        <w:rPr>
          <w:lang w:val="uk-UA"/>
        </w:rPr>
        <w:t xml:space="preserve"> тис. грн. Здійснено 80 виїзних обстежень.</w:t>
      </w:r>
    </w:p>
    <w:p w:rsidR="00E84A97" w:rsidRPr="00720DC2" w:rsidRDefault="00E84A97" w:rsidP="00E84A97">
      <w:pPr>
        <w:ind w:firstLine="708"/>
        <w:jc w:val="both"/>
        <w:rPr>
          <w:lang w:val="uk-UA"/>
        </w:rPr>
      </w:pPr>
      <w:r w:rsidRPr="00720DC2">
        <w:rPr>
          <w:lang w:val="uk-UA"/>
        </w:rPr>
        <w:t>Враховуючи пропозиції мешканців міста та за результатами обстеження пасажиропотоків змінено 3 марш</w:t>
      </w:r>
      <w:r w:rsidR="00717F59" w:rsidRPr="00720DC2">
        <w:rPr>
          <w:lang w:val="uk-UA"/>
        </w:rPr>
        <w:t>рути громадського транспорту: №</w:t>
      </w:r>
      <w:r w:rsidRPr="00720DC2">
        <w:rPr>
          <w:lang w:val="uk-UA"/>
        </w:rPr>
        <w:t>39, №</w:t>
      </w:r>
      <w:r w:rsidR="00717F59" w:rsidRPr="00720DC2">
        <w:rPr>
          <w:lang w:val="uk-UA"/>
        </w:rPr>
        <w:t>40 та №</w:t>
      </w:r>
      <w:r w:rsidRPr="00720DC2">
        <w:rPr>
          <w:lang w:val="uk-UA"/>
        </w:rPr>
        <w:t>44.</w:t>
      </w:r>
    </w:p>
    <w:p w:rsidR="00E84A97" w:rsidRPr="00720DC2" w:rsidRDefault="00E84A97" w:rsidP="00E84A97">
      <w:pPr>
        <w:jc w:val="both"/>
        <w:rPr>
          <w:lang w:val="uk-UA"/>
        </w:rPr>
      </w:pPr>
      <w:r w:rsidRPr="00720DC2">
        <w:rPr>
          <w:lang w:val="uk-UA"/>
        </w:rPr>
        <w:tab/>
        <w:t xml:space="preserve">Впроваджено </w:t>
      </w:r>
      <w:r w:rsidR="001F611B" w:rsidRPr="00720DC2">
        <w:rPr>
          <w:lang w:val="uk-UA"/>
        </w:rPr>
        <w:t xml:space="preserve">також </w:t>
      </w:r>
      <w:r w:rsidRPr="00720DC2">
        <w:rPr>
          <w:lang w:val="uk-UA"/>
        </w:rPr>
        <w:t xml:space="preserve">три комунальних маршрути: №27 </w:t>
      </w:r>
      <w:r w:rsidR="00D4778A" w:rsidRPr="00720DC2">
        <w:rPr>
          <w:lang w:val="uk-UA"/>
        </w:rPr>
        <w:t>"</w:t>
      </w:r>
      <w:r w:rsidRPr="00720DC2">
        <w:rPr>
          <w:lang w:val="uk-UA"/>
        </w:rPr>
        <w:t xml:space="preserve">м-н </w:t>
      </w:r>
      <w:r w:rsidR="00D4778A" w:rsidRPr="00720DC2">
        <w:rPr>
          <w:lang w:val="uk-UA"/>
        </w:rPr>
        <w:t>"</w:t>
      </w:r>
      <w:r w:rsidRPr="00720DC2">
        <w:rPr>
          <w:lang w:val="uk-UA"/>
        </w:rPr>
        <w:t>Каскад</w:t>
      </w:r>
      <w:r w:rsidR="00D4778A" w:rsidRPr="00720DC2">
        <w:rPr>
          <w:lang w:val="uk-UA"/>
        </w:rPr>
        <w:t>"</w:t>
      </w:r>
      <w:r w:rsidRPr="00720DC2">
        <w:rPr>
          <w:lang w:val="uk-UA"/>
        </w:rPr>
        <w:t xml:space="preserve"> - вул. Пулюя</w:t>
      </w:r>
      <w:r w:rsidR="00D4778A" w:rsidRPr="00720DC2">
        <w:rPr>
          <w:lang w:val="uk-UA"/>
        </w:rPr>
        <w:t>"</w:t>
      </w:r>
      <w:r w:rsidR="00717F59" w:rsidRPr="00720DC2">
        <w:rPr>
          <w:lang w:val="uk-UA"/>
        </w:rPr>
        <w:t xml:space="preserve">, </w:t>
      </w:r>
      <w:r w:rsidRPr="00720DC2">
        <w:rPr>
          <w:lang w:val="uk-UA"/>
        </w:rPr>
        <w:t xml:space="preserve">№41К </w:t>
      </w:r>
      <w:r w:rsidR="00D4778A" w:rsidRPr="00720DC2">
        <w:rPr>
          <w:lang w:val="uk-UA"/>
        </w:rPr>
        <w:t>"</w:t>
      </w:r>
      <w:r w:rsidRPr="00720DC2">
        <w:rPr>
          <w:lang w:val="uk-UA"/>
        </w:rPr>
        <w:t xml:space="preserve">м-н </w:t>
      </w:r>
      <w:r w:rsidR="00D4778A" w:rsidRPr="00720DC2">
        <w:rPr>
          <w:lang w:val="uk-UA"/>
        </w:rPr>
        <w:t>"</w:t>
      </w:r>
      <w:r w:rsidRPr="00720DC2">
        <w:rPr>
          <w:lang w:val="uk-UA"/>
        </w:rPr>
        <w:t>Каскад</w:t>
      </w:r>
      <w:r w:rsidR="00D4778A" w:rsidRPr="00720DC2">
        <w:rPr>
          <w:lang w:val="uk-UA"/>
        </w:rPr>
        <w:t>"</w:t>
      </w:r>
      <w:r w:rsidRPr="00720DC2">
        <w:rPr>
          <w:lang w:val="uk-UA"/>
        </w:rPr>
        <w:t xml:space="preserve"> - Онкодиспансер</w:t>
      </w:r>
      <w:r w:rsidR="00D4778A" w:rsidRPr="00720DC2">
        <w:rPr>
          <w:lang w:val="uk-UA"/>
        </w:rPr>
        <w:t>"</w:t>
      </w:r>
      <w:r w:rsidR="00717F59" w:rsidRPr="00720DC2">
        <w:rPr>
          <w:lang w:val="uk-UA"/>
        </w:rPr>
        <w:t xml:space="preserve">, </w:t>
      </w:r>
      <w:r w:rsidR="00F22802" w:rsidRPr="00720DC2">
        <w:rPr>
          <w:lang w:val="uk-UA"/>
        </w:rPr>
        <w:t>№</w:t>
      </w:r>
      <w:r w:rsidRPr="00720DC2">
        <w:rPr>
          <w:lang w:val="uk-UA"/>
        </w:rPr>
        <w:t xml:space="preserve">55 </w:t>
      </w:r>
      <w:r w:rsidR="00D4778A" w:rsidRPr="00720DC2">
        <w:rPr>
          <w:lang w:val="uk-UA"/>
        </w:rPr>
        <w:t>"</w:t>
      </w:r>
      <w:r w:rsidRPr="00720DC2">
        <w:rPr>
          <w:lang w:val="uk-UA"/>
        </w:rPr>
        <w:t>с.Крихівці – Вокзал</w:t>
      </w:r>
      <w:r w:rsidR="00D4778A" w:rsidRPr="00720DC2">
        <w:rPr>
          <w:lang w:val="uk-UA"/>
        </w:rPr>
        <w:t>"</w:t>
      </w:r>
      <w:r w:rsidRPr="00720DC2">
        <w:rPr>
          <w:lang w:val="uk-UA"/>
        </w:rPr>
        <w:t>.</w:t>
      </w:r>
    </w:p>
    <w:p w:rsidR="00183E22" w:rsidRPr="00720DC2" w:rsidRDefault="00183E22" w:rsidP="00183E22">
      <w:pPr>
        <w:jc w:val="both"/>
        <w:rPr>
          <w:lang w:val="uk-UA"/>
        </w:rPr>
      </w:pPr>
      <w:r w:rsidRPr="00720DC2">
        <w:rPr>
          <w:lang w:val="uk-UA"/>
        </w:rPr>
        <w:tab/>
        <w:t>Для кращого інформативного забезпечення мешканців міста щодо графіків руху автобусів закуплено 5 інформаційних електронних табло DOZOR, які встановлено на</w:t>
      </w:r>
      <w:r w:rsidRPr="00720DC2">
        <w:rPr>
          <w:w w:val="95"/>
          <w:lang w:val="uk-UA"/>
        </w:rPr>
        <w:t xml:space="preserve"> з</w:t>
      </w:r>
      <w:r w:rsidRPr="00720DC2">
        <w:rPr>
          <w:lang w:val="uk-UA"/>
        </w:rPr>
        <w:t xml:space="preserve">упинках: вул.Горбачевського, 14 (АС-2), вул.Федьковича, 91, вул.Галицька, 142, вул.Незалежності, 46 (кінотеатр </w:t>
      </w:r>
      <w:r w:rsidR="00D4778A" w:rsidRPr="00720DC2">
        <w:rPr>
          <w:lang w:val="uk-UA"/>
        </w:rPr>
        <w:t>"</w:t>
      </w:r>
      <w:r w:rsidRPr="00720DC2">
        <w:rPr>
          <w:lang w:val="uk-UA"/>
        </w:rPr>
        <w:t>Космос</w:t>
      </w:r>
      <w:r w:rsidR="00D4778A" w:rsidRPr="00720DC2">
        <w:rPr>
          <w:lang w:val="uk-UA"/>
        </w:rPr>
        <w:t>"</w:t>
      </w:r>
      <w:r w:rsidRPr="00720DC2">
        <w:rPr>
          <w:lang w:val="uk-UA"/>
        </w:rPr>
        <w:t xml:space="preserve"> -  по обидві сторони руху).</w:t>
      </w:r>
    </w:p>
    <w:p w:rsidR="001F611B" w:rsidRPr="00720DC2" w:rsidRDefault="00183E22" w:rsidP="001F611B">
      <w:pPr>
        <w:ind w:firstLine="360"/>
        <w:jc w:val="both"/>
        <w:rPr>
          <w:lang w:val="uk-UA"/>
        </w:rPr>
      </w:pPr>
      <w:r w:rsidRPr="00720DC2">
        <w:rPr>
          <w:lang w:val="uk-UA"/>
        </w:rPr>
        <w:tab/>
        <w:t xml:space="preserve">Впродовж </w:t>
      </w:r>
      <w:r w:rsidR="00402171">
        <w:rPr>
          <w:lang w:val="uk-UA"/>
        </w:rPr>
        <w:t xml:space="preserve">звітного </w:t>
      </w:r>
      <w:r w:rsidRPr="00720DC2">
        <w:rPr>
          <w:lang w:val="uk-UA"/>
        </w:rPr>
        <w:t xml:space="preserve">року встановлено </w:t>
      </w:r>
      <w:r w:rsidR="00AC31CC" w:rsidRPr="00720DC2">
        <w:rPr>
          <w:lang w:val="uk-UA"/>
        </w:rPr>
        <w:t>31</w:t>
      </w:r>
      <w:r w:rsidRPr="00720DC2">
        <w:rPr>
          <w:lang w:val="uk-UA"/>
        </w:rPr>
        <w:t xml:space="preserve"> </w:t>
      </w:r>
      <w:r w:rsidR="00AC31CC" w:rsidRPr="00720DC2">
        <w:rPr>
          <w:lang w:val="uk-UA"/>
        </w:rPr>
        <w:t xml:space="preserve">нову </w:t>
      </w:r>
      <w:r w:rsidRPr="00720DC2">
        <w:rPr>
          <w:lang w:val="uk-UA"/>
        </w:rPr>
        <w:t>зупинк</w:t>
      </w:r>
      <w:r w:rsidR="00AC31CC" w:rsidRPr="00720DC2">
        <w:rPr>
          <w:lang w:val="uk-UA"/>
        </w:rPr>
        <w:t>у</w:t>
      </w:r>
      <w:r w:rsidRPr="00720DC2">
        <w:rPr>
          <w:lang w:val="uk-UA"/>
        </w:rPr>
        <w:t xml:space="preserve"> громадського транспорту. </w:t>
      </w:r>
      <w:r w:rsidR="001F611B" w:rsidRPr="00720DC2">
        <w:rPr>
          <w:lang w:val="uk-UA"/>
        </w:rPr>
        <w:t xml:space="preserve">Всього за 2017 та 2018 рік встановлено </w:t>
      </w:r>
      <w:r w:rsidR="00AC31CC" w:rsidRPr="00720DC2">
        <w:rPr>
          <w:lang w:val="uk-UA"/>
        </w:rPr>
        <w:t>57</w:t>
      </w:r>
      <w:r w:rsidR="001F611B" w:rsidRPr="00720DC2">
        <w:rPr>
          <w:lang w:val="uk-UA"/>
        </w:rPr>
        <w:t xml:space="preserve">  зупин</w:t>
      </w:r>
      <w:r w:rsidR="00AC31CC" w:rsidRPr="00720DC2">
        <w:rPr>
          <w:lang w:val="uk-UA"/>
        </w:rPr>
        <w:t>о</w:t>
      </w:r>
      <w:r w:rsidR="001F611B" w:rsidRPr="00720DC2">
        <w:rPr>
          <w:lang w:val="uk-UA"/>
        </w:rPr>
        <w:t>к громадського транспорту.</w:t>
      </w:r>
    </w:p>
    <w:p w:rsidR="00183E22" w:rsidRPr="00720DC2" w:rsidRDefault="00183E22" w:rsidP="000E6FF3">
      <w:pPr>
        <w:ind w:firstLine="709"/>
        <w:jc w:val="both"/>
        <w:rPr>
          <w:lang w:val="uk-UA"/>
        </w:rPr>
      </w:pPr>
      <w:r w:rsidRPr="00720DC2">
        <w:rPr>
          <w:lang w:val="uk-UA"/>
        </w:rPr>
        <w:t>Спільно з</w:t>
      </w:r>
      <w:r w:rsidRPr="00720DC2">
        <w:rPr>
          <w:w w:val="95"/>
          <w:lang w:val="uk-UA"/>
        </w:rPr>
        <w:t xml:space="preserve"> </w:t>
      </w:r>
      <w:r w:rsidRPr="00720DC2">
        <w:rPr>
          <w:lang w:val="uk-UA"/>
        </w:rPr>
        <w:t xml:space="preserve">громадською організацією </w:t>
      </w:r>
      <w:r w:rsidR="00D4778A" w:rsidRPr="00720DC2">
        <w:rPr>
          <w:lang w:val="uk-UA"/>
        </w:rPr>
        <w:t>"</w:t>
      </w:r>
      <w:r w:rsidRPr="00720DC2">
        <w:rPr>
          <w:lang w:val="uk-UA"/>
        </w:rPr>
        <w:t>Біла тростина</w:t>
      </w:r>
      <w:r w:rsidR="00D4778A" w:rsidRPr="00720DC2">
        <w:rPr>
          <w:lang w:val="uk-UA"/>
        </w:rPr>
        <w:t>"</w:t>
      </w:r>
      <w:r w:rsidRPr="00720DC2">
        <w:rPr>
          <w:lang w:val="uk-UA"/>
        </w:rPr>
        <w:t xml:space="preserve"> визначено технічні особливості та проведено монтаж</w:t>
      </w:r>
      <w:r w:rsidRPr="00720DC2">
        <w:rPr>
          <w:w w:val="95"/>
          <w:lang w:val="uk-UA"/>
        </w:rPr>
        <w:t xml:space="preserve"> </w:t>
      </w:r>
      <w:r w:rsidRPr="00720DC2">
        <w:rPr>
          <w:lang w:val="uk-UA"/>
        </w:rPr>
        <w:t>обладнання для озвучування на маршрутах №21, 25, 35, 40, 44, 48. Обладнано засобами внутрішнього та зовнішнього звукового оповіщення 44 автобуси.</w:t>
      </w:r>
    </w:p>
    <w:p w:rsidR="00183E22" w:rsidRPr="00720DC2" w:rsidRDefault="00183E22" w:rsidP="00183E22">
      <w:pPr>
        <w:ind w:firstLine="709"/>
        <w:jc w:val="both"/>
        <w:rPr>
          <w:lang w:val="uk-UA"/>
        </w:rPr>
      </w:pPr>
      <w:r w:rsidRPr="00720DC2">
        <w:rPr>
          <w:lang w:val="uk-UA"/>
        </w:rPr>
        <w:t>Під час проведення конкурсів на перевезення однією з вимог на великогабаритних маршрутах була наявність в учасника транспортного засобу, який призначений для перевезення пільгових категорій. На даний час за маршрутами перевезення здійснюють 28 низькопідлогових автобусів.</w:t>
      </w:r>
    </w:p>
    <w:p w:rsidR="000E6FF3" w:rsidRPr="00720DC2" w:rsidRDefault="000E6FF3" w:rsidP="000E6FF3">
      <w:pPr>
        <w:tabs>
          <w:tab w:val="left" w:pos="711"/>
          <w:tab w:val="left" w:pos="3437"/>
        </w:tabs>
        <w:jc w:val="both"/>
        <w:rPr>
          <w:b/>
          <w:lang w:val="uk-UA" w:eastAsia="uk-UA"/>
        </w:rPr>
      </w:pPr>
      <w:r w:rsidRPr="00720DC2">
        <w:rPr>
          <w:lang w:val="uk-UA" w:eastAsia="uk-UA"/>
        </w:rPr>
        <w:tab/>
        <w:t>З метою покращення умов праці для водіїв на кінцевих зупинках громадського транспорту встановлено один стаціонарний туалет (перехрестя вул. Симоненка – 24 Серпня) та три біотуалети (вул. Федьковича, вул. Дудаєва, вул. Галицька).</w:t>
      </w:r>
    </w:p>
    <w:p w:rsidR="000E6FF3" w:rsidRPr="00720DC2" w:rsidRDefault="00183E22" w:rsidP="000E6FF3">
      <w:pPr>
        <w:ind w:firstLine="360"/>
        <w:jc w:val="both"/>
        <w:rPr>
          <w:lang w:val="uk-UA" w:eastAsia="uk-UA"/>
        </w:rPr>
      </w:pPr>
      <w:r w:rsidRPr="00720DC2">
        <w:rPr>
          <w:lang w:val="uk-UA"/>
        </w:rPr>
        <w:lastRenderedPageBreak/>
        <w:tab/>
        <w:t xml:space="preserve">Для забезпечення безпеки дорожнього  руху встановлено </w:t>
      </w:r>
      <w:r w:rsidR="000E6FF3" w:rsidRPr="00720DC2">
        <w:rPr>
          <w:lang w:val="uk-UA"/>
        </w:rPr>
        <w:t>567</w:t>
      </w:r>
      <w:r w:rsidRPr="00720DC2">
        <w:rPr>
          <w:lang w:val="uk-UA"/>
        </w:rPr>
        <w:t xml:space="preserve"> дорожніх знаків, сферичне дзеркало, 7 автоматичних болардів, 7</w:t>
      </w:r>
      <w:r w:rsidRPr="00720DC2">
        <w:rPr>
          <w:w w:val="90"/>
          <w:lang w:val="uk-UA"/>
        </w:rPr>
        <w:t xml:space="preserve"> </w:t>
      </w:r>
      <w:r w:rsidRPr="00720DC2">
        <w:rPr>
          <w:lang w:val="uk-UA"/>
        </w:rPr>
        <w:t xml:space="preserve">світлофорів транспортних та 4 -  пішохідні. </w:t>
      </w:r>
      <w:r w:rsidR="000E6FF3" w:rsidRPr="00720DC2">
        <w:rPr>
          <w:lang w:val="uk-UA"/>
        </w:rPr>
        <w:t>О</w:t>
      </w:r>
      <w:r w:rsidR="000E6FF3" w:rsidRPr="00720DC2">
        <w:rPr>
          <w:rFonts w:eastAsia="Calibri"/>
          <w:lang w:val="uk-UA"/>
        </w:rPr>
        <w:t>блаштовано освітлення  нерегульованих переходів.</w:t>
      </w:r>
      <w:r w:rsidR="000E6FF3" w:rsidRPr="00720DC2">
        <w:rPr>
          <w:lang w:val="uk-UA"/>
        </w:rPr>
        <w:t xml:space="preserve"> </w:t>
      </w:r>
      <w:r w:rsidRPr="00720DC2">
        <w:rPr>
          <w:lang w:val="uk-UA"/>
        </w:rPr>
        <w:t>Перенесено</w:t>
      </w:r>
      <w:r w:rsidRPr="00720DC2">
        <w:rPr>
          <w:lang w:val="uk-UA"/>
        </w:rPr>
        <w:tab/>
        <w:t>та</w:t>
      </w:r>
      <w:r w:rsidRPr="00720DC2">
        <w:rPr>
          <w:lang w:val="uk-UA"/>
        </w:rPr>
        <w:tab/>
        <w:t>встановлено пристрій примусового</w:t>
      </w:r>
      <w:r w:rsidRPr="00720DC2">
        <w:rPr>
          <w:w w:val="80"/>
          <w:lang w:val="uk-UA"/>
        </w:rPr>
        <w:t xml:space="preserve"> </w:t>
      </w:r>
      <w:r w:rsidRPr="00720DC2">
        <w:rPr>
          <w:lang w:val="uk-UA"/>
        </w:rPr>
        <w:t>зниження швидкості. Нанесено</w:t>
      </w:r>
      <w:r w:rsidRPr="00720DC2">
        <w:rPr>
          <w:lang w:val="uk-UA"/>
        </w:rPr>
        <w:tab/>
        <w:t>дорожню</w:t>
      </w:r>
      <w:r w:rsidRPr="00720DC2">
        <w:rPr>
          <w:lang w:val="uk-UA"/>
        </w:rPr>
        <w:tab/>
        <w:t>розмітку фарбою на 65-ти вулицях, холодним пластиком на</w:t>
      </w:r>
      <w:r w:rsidR="000E6FF3" w:rsidRPr="00720DC2">
        <w:rPr>
          <w:lang w:val="uk-UA"/>
        </w:rPr>
        <w:t xml:space="preserve"> 24</w:t>
      </w:r>
      <w:r w:rsidRPr="00720DC2">
        <w:rPr>
          <w:lang w:val="uk-UA"/>
        </w:rPr>
        <w:t>-</w:t>
      </w:r>
      <w:r w:rsidR="000E6FF3" w:rsidRPr="00720DC2">
        <w:rPr>
          <w:lang w:val="uk-UA"/>
        </w:rPr>
        <w:t>х</w:t>
      </w:r>
      <w:r w:rsidRPr="00720DC2">
        <w:rPr>
          <w:lang w:val="uk-UA"/>
        </w:rPr>
        <w:t xml:space="preserve"> вулицях та фарбою для велодоріжки  на </w:t>
      </w:r>
      <w:r w:rsidR="000E6FF3" w:rsidRPr="00720DC2">
        <w:rPr>
          <w:lang w:val="uk-UA"/>
        </w:rPr>
        <w:t>10-х</w:t>
      </w:r>
      <w:r w:rsidRPr="00720DC2">
        <w:rPr>
          <w:lang w:val="uk-UA"/>
        </w:rPr>
        <w:t xml:space="preserve"> вулицях.</w:t>
      </w:r>
      <w:r w:rsidR="000E6FF3" w:rsidRPr="00720DC2">
        <w:rPr>
          <w:lang w:val="uk-UA"/>
        </w:rPr>
        <w:t xml:space="preserve"> </w:t>
      </w:r>
      <w:r w:rsidR="000E6FF3" w:rsidRPr="00720DC2">
        <w:rPr>
          <w:rFonts w:eastAsia="Calibri"/>
          <w:lang w:val="uk-UA"/>
        </w:rPr>
        <w:t xml:space="preserve">Облаштовано острівець безпеки на вул. С. Бандери та </w:t>
      </w:r>
      <w:r w:rsidR="000E6FF3" w:rsidRPr="00720DC2">
        <w:rPr>
          <w:lang w:val="uk-UA" w:eastAsia="uk-UA"/>
        </w:rPr>
        <w:t>антикишеню на вул. Сахарова,38 (зупинка біля спорткомплексу).</w:t>
      </w:r>
    </w:p>
    <w:p w:rsidR="007A4430" w:rsidRPr="00720DC2" w:rsidRDefault="00ED339B" w:rsidP="007A4430">
      <w:pPr>
        <w:ind w:firstLine="700"/>
        <w:jc w:val="both"/>
        <w:rPr>
          <w:lang w:val="uk-UA"/>
        </w:rPr>
      </w:pPr>
      <w:r w:rsidRPr="00720DC2">
        <w:rPr>
          <w:lang w:val="uk-UA"/>
        </w:rPr>
        <w:t>У</w:t>
      </w:r>
      <w:r w:rsidR="007A4430" w:rsidRPr="00720DC2">
        <w:rPr>
          <w:lang w:val="uk-UA"/>
        </w:rPr>
        <w:t xml:space="preserve"> 2018 році </w:t>
      </w:r>
      <w:r w:rsidR="003D014A">
        <w:rPr>
          <w:lang w:val="uk-UA"/>
        </w:rPr>
        <w:t>приділялась</w:t>
      </w:r>
      <w:r w:rsidRPr="00720DC2">
        <w:rPr>
          <w:lang w:val="uk-UA"/>
        </w:rPr>
        <w:t xml:space="preserve"> увага</w:t>
      </w:r>
      <w:r w:rsidR="007A4430" w:rsidRPr="00720DC2">
        <w:rPr>
          <w:lang w:val="uk-UA"/>
        </w:rPr>
        <w:t xml:space="preserve"> здійсненню капітальних ремонтів тротуарів та пішохідних доріжок. З початку року завершено роботи з капітального ремонту на 12-х об’єктах, ще 8 перебуває в роботі. Одним з найважливіших об’єктів щодо влаштування велоінфраструктури в місті стала реконструкція тротуару з влаштуванням велодоріжки на вул. Галицькій (парна сторона). У даний час роботи на цьому об’єкті наближаються до завершення. Впродовж року практично вдалося провести реконструкцію тротуару та влаштувати велодоріжку </w:t>
      </w:r>
      <w:r w:rsidR="0081008E" w:rsidRPr="00720DC2">
        <w:rPr>
          <w:lang w:val="uk-UA"/>
        </w:rPr>
        <w:t>по</w:t>
      </w:r>
      <w:r w:rsidR="007A4430" w:rsidRPr="00720DC2">
        <w:rPr>
          <w:lang w:val="uk-UA"/>
        </w:rPr>
        <w:t xml:space="preserve"> усій довжині вулиці Галицьк</w:t>
      </w:r>
      <w:r w:rsidR="003D014A">
        <w:rPr>
          <w:lang w:val="uk-UA"/>
        </w:rPr>
        <w:t>ої</w:t>
      </w:r>
      <w:r w:rsidR="007A4430" w:rsidRPr="00720DC2">
        <w:rPr>
          <w:lang w:val="uk-UA"/>
        </w:rPr>
        <w:t xml:space="preserve"> від вул. Військових ветеранів до повороту на м.Галич. </w:t>
      </w:r>
    </w:p>
    <w:p w:rsidR="007A4430" w:rsidRPr="00720DC2" w:rsidRDefault="007A4430" w:rsidP="00F72DD7">
      <w:pPr>
        <w:ind w:firstLine="709"/>
        <w:jc w:val="both"/>
        <w:rPr>
          <w:color w:val="000000"/>
          <w:lang w:val="uk-UA"/>
        </w:rPr>
      </w:pPr>
      <w:r w:rsidRPr="00720DC2">
        <w:rPr>
          <w:lang w:val="uk-UA"/>
        </w:rPr>
        <w:t xml:space="preserve">Проект реконструкції передбачав </w:t>
      </w:r>
      <w:r w:rsidRPr="00720DC2">
        <w:rPr>
          <w:color w:val="000000"/>
          <w:lang w:val="uk-UA"/>
        </w:rPr>
        <w:t xml:space="preserve">перерозподіл вуличного простору з урахуванням інтересів усіх учасників дорожнього руху. </w:t>
      </w:r>
      <w:r w:rsidR="006F1E3B" w:rsidRPr="00720DC2">
        <w:rPr>
          <w:color w:val="000000"/>
          <w:lang w:val="uk-UA"/>
        </w:rPr>
        <w:t>По</w:t>
      </w:r>
      <w:r w:rsidRPr="00720DC2">
        <w:rPr>
          <w:color w:val="000000"/>
          <w:lang w:val="uk-UA"/>
        </w:rPr>
        <w:t xml:space="preserve"> усій довжині реконструйованої частини облаштовано безбар’єрне середовище та забезпечено доступність для </w:t>
      </w:r>
      <w:r w:rsidR="003D014A">
        <w:rPr>
          <w:color w:val="000000"/>
          <w:lang w:val="uk-UA"/>
        </w:rPr>
        <w:t>в</w:t>
      </w:r>
      <w:r w:rsidRPr="00720DC2">
        <w:rPr>
          <w:color w:val="000000"/>
          <w:lang w:val="uk-UA"/>
        </w:rPr>
        <w:t>сіх маломобільних груп населення.</w:t>
      </w:r>
    </w:p>
    <w:p w:rsidR="007A4430" w:rsidRPr="00720DC2" w:rsidRDefault="007A4430" w:rsidP="00F72DD7">
      <w:pPr>
        <w:ind w:firstLine="709"/>
        <w:jc w:val="both"/>
        <w:rPr>
          <w:lang w:val="uk-UA" w:eastAsia="uk-UA"/>
        </w:rPr>
      </w:pPr>
      <w:r w:rsidRPr="00720DC2">
        <w:rPr>
          <w:lang w:val="uk-UA"/>
        </w:rPr>
        <w:t xml:space="preserve">Серед капітально відремонтованих тротуарів та пішохідних зон у </w:t>
      </w:r>
      <w:r w:rsidR="003D014A">
        <w:rPr>
          <w:lang w:val="uk-UA"/>
        </w:rPr>
        <w:t>2018</w:t>
      </w:r>
      <w:r w:rsidRPr="00720DC2">
        <w:rPr>
          <w:lang w:val="uk-UA"/>
        </w:rPr>
        <w:t xml:space="preserve"> році варто виділити вулиц</w:t>
      </w:r>
      <w:r w:rsidR="003D014A">
        <w:rPr>
          <w:lang w:val="uk-UA"/>
        </w:rPr>
        <w:t>і</w:t>
      </w:r>
      <w:r w:rsidRPr="00720DC2">
        <w:rPr>
          <w:lang w:val="uk-UA"/>
        </w:rPr>
        <w:t xml:space="preserve"> Саєвича, Барнича,  Коновальця (непарна сторона), Пасічн</w:t>
      </w:r>
      <w:r w:rsidR="003D014A">
        <w:rPr>
          <w:lang w:val="uk-UA"/>
        </w:rPr>
        <w:t>у</w:t>
      </w:r>
      <w:r w:rsidRPr="00720DC2">
        <w:rPr>
          <w:lang w:val="uk-UA"/>
        </w:rPr>
        <w:t xml:space="preserve"> (від зупинки до ресторану </w:t>
      </w:r>
      <w:r w:rsidR="00D4778A" w:rsidRPr="00720DC2">
        <w:rPr>
          <w:lang w:val="uk-UA"/>
        </w:rPr>
        <w:t>"</w:t>
      </w:r>
      <w:r w:rsidRPr="00720DC2">
        <w:rPr>
          <w:lang w:val="uk-UA"/>
        </w:rPr>
        <w:t>Рів’єра</w:t>
      </w:r>
      <w:r w:rsidR="00D4778A" w:rsidRPr="00720DC2">
        <w:rPr>
          <w:lang w:val="uk-UA"/>
        </w:rPr>
        <w:t>"</w:t>
      </w:r>
      <w:r w:rsidRPr="00720DC2">
        <w:rPr>
          <w:lang w:val="uk-UA"/>
        </w:rPr>
        <w:t xml:space="preserve">), Дорошенка (при вході </w:t>
      </w:r>
      <w:r w:rsidR="006F1E3B" w:rsidRPr="00720DC2">
        <w:rPr>
          <w:lang w:val="uk-UA"/>
        </w:rPr>
        <w:t>до</w:t>
      </w:r>
      <w:r w:rsidRPr="00720DC2">
        <w:rPr>
          <w:lang w:val="uk-UA"/>
        </w:rPr>
        <w:t xml:space="preserve"> парк</w:t>
      </w:r>
      <w:r w:rsidR="006F1E3B" w:rsidRPr="00720DC2">
        <w:rPr>
          <w:lang w:val="uk-UA"/>
        </w:rPr>
        <w:t>у</w:t>
      </w:r>
      <w:r w:rsidRPr="00720DC2">
        <w:rPr>
          <w:lang w:val="uk-UA"/>
        </w:rPr>
        <w:t>), Ботанічн</w:t>
      </w:r>
      <w:r w:rsidR="00FE4ECD">
        <w:rPr>
          <w:lang w:val="uk-UA"/>
        </w:rPr>
        <w:t>у</w:t>
      </w:r>
      <w:r w:rsidRPr="00720DC2">
        <w:rPr>
          <w:lang w:val="uk-UA"/>
        </w:rPr>
        <w:t>. Тривають роботи з капітального ремонту пішохідної зони з влаштуванням велодоріжки на міському озері, тротуару на вул. Грюнвальдській та ін.</w:t>
      </w:r>
    </w:p>
    <w:p w:rsidR="00E11498" w:rsidRPr="00E11498" w:rsidRDefault="00E11498" w:rsidP="00E11498">
      <w:pPr>
        <w:ind w:firstLine="709"/>
        <w:jc w:val="both"/>
        <w:rPr>
          <w:lang w:val="uk-UA"/>
        </w:rPr>
      </w:pPr>
      <w:r w:rsidRPr="00E11498">
        <w:rPr>
          <w:bCs/>
          <w:lang w:val="uk-UA"/>
        </w:rPr>
        <w:t xml:space="preserve">Продовжується реалізація проекту "Оновлення тролейбусного парку Івано-Франківська" (кошти: кредит ЄБРР – 8 млн.євро, грантові кошти – 1 млн.євро, міський бюджет – 0,5 млн.євро). </w:t>
      </w:r>
      <w:r w:rsidRPr="00E11498">
        <w:rPr>
          <w:lang w:val="uk-UA"/>
        </w:rPr>
        <w:t xml:space="preserve">У 2018 році в рамках реалізації даного проекту КП "Електроавтотранс"  підписано договір про постачання 29 низькопідлогових тролейбусів га грантові та кредитні кошти ЄБРР. Закуплено та запущено в експлуатацію 6 нових автобусів "Богдан" А 701.32. Підписано договір на постачання 24 автобусів великого класу. </w:t>
      </w:r>
    </w:p>
    <w:p w:rsidR="00E11498" w:rsidRPr="00D44362" w:rsidRDefault="00E11498" w:rsidP="00E11498">
      <w:pPr>
        <w:ind w:firstLine="709"/>
        <w:jc w:val="both"/>
      </w:pPr>
      <w:r w:rsidRPr="00E11498">
        <w:rPr>
          <w:lang w:val="uk-UA"/>
        </w:rPr>
        <w:t xml:space="preserve">КП "Електроавтотранс" побудовано зворотну тролейбусну  лінію через залізничний вокзал, розроблено проект та проведено підготовку  для будівництва тролейбусної лінії по вул. 24 </w:t>
      </w:r>
      <w:r w:rsidR="00813038">
        <w:rPr>
          <w:lang w:val="uk-UA"/>
        </w:rPr>
        <w:t>С</w:t>
      </w:r>
      <w:r w:rsidRPr="00E11498">
        <w:rPr>
          <w:lang w:val="uk-UA"/>
        </w:rPr>
        <w:t>ерпня,  а також проведено перший етап тендеру на будівництво підстанцій та тролейбусної лінії "Залізничний вокзал – Автостанція №3". Виготовляється проектно-кошторисна документація на будівництво тролейбусної лінії вул.Мазепи-Південний</w:t>
      </w:r>
      <w:r w:rsidRPr="00D44362">
        <w:t xml:space="preserve"> Бульвар-Північний Бульвар.</w:t>
      </w:r>
    </w:p>
    <w:p w:rsidR="00E11498" w:rsidRPr="00D44362" w:rsidRDefault="00E11498" w:rsidP="00E11498">
      <w:pPr>
        <w:ind w:firstLine="709"/>
        <w:jc w:val="both"/>
      </w:pPr>
      <w:r w:rsidRPr="00D44362">
        <w:t>Проведено тендер та підписано договір на постачання облад</w:t>
      </w:r>
      <w:r>
        <w:t>н</w:t>
      </w:r>
      <w:r w:rsidRPr="00D44362">
        <w:t>ання (валідаторів) для впровадження автоматизованої системи оплати проїзду.</w:t>
      </w:r>
    </w:p>
    <w:p w:rsidR="00183E22" w:rsidRPr="00E11498" w:rsidRDefault="00183E22" w:rsidP="00183E22">
      <w:pPr>
        <w:ind w:firstLine="700"/>
        <w:jc w:val="both"/>
        <w:outlineLvl w:val="0"/>
        <w:rPr>
          <w:highlight w:val="yellow"/>
        </w:rPr>
      </w:pPr>
    </w:p>
    <w:p w:rsidR="00183E22" w:rsidRPr="00720DC2" w:rsidRDefault="00183E22" w:rsidP="00183E22">
      <w:pPr>
        <w:ind w:firstLine="700"/>
        <w:jc w:val="both"/>
        <w:outlineLvl w:val="0"/>
        <w:rPr>
          <w:i/>
          <w:lang w:val="uk-UA"/>
        </w:rPr>
      </w:pPr>
      <w:r w:rsidRPr="00720DC2">
        <w:rPr>
          <w:i/>
          <w:lang w:val="uk-UA"/>
        </w:rPr>
        <w:t>2.4 Містобудівна та будівельна діяльність</w:t>
      </w:r>
    </w:p>
    <w:p w:rsidR="00183E22" w:rsidRPr="00720DC2" w:rsidRDefault="00183E22" w:rsidP="00183E22">
      <w:pPr>
        <w:ind w:firstLine="709"/>
        <w:jc w:val="both"/>
        <w:rPr>
          <w:rFonts w:cs="Times New Roman"/>
          <w:color w:val="000000"/>
          <w:shd w:val="clear" w:color="auto" w:fill="FFFFFF"/>
          <w:lang w:val="uk-UA"/>
        </w:rPr>
      </w:pPr>
      <w:r w:rsidRPr="00720DC2">
        <w:rPr>
          <w:rFonts w:cs="Times New Roman"/>
          <w:color w:val="000000"/>
          <w:shd w:val="clear" w:color="auto" w:fill="FFFFFF"/>
          <w:lang w:val="uk-UA"/>
        </w:rPr>
        <w:t>Проект землеустрою щодо встановлення меж міста Івано-Франківська планується</w:t>
      </w:r>
      <w:r w:rsidRPr="00720DC2">
        <w:rPr>
          <w:lang w:val="uk-UA"/>
        </w:rPr>
        <w:t xml:space="preserve"> </w:t>
      </w:r>
      <w:r w:rsidRPr="00720DC2">
        <w:rPr>
          <w:rFonts w:cs="Times New Roman"/>
          <w:color w:val="000000"/>
          <w:shd w:val="clear" w:color="auto" w:fill="FFFFFF"/>
          <w:lang w:val="uk-UA"/>
        </w:rPr>
        <w:t xml:space="preserve">подати на експертизу в Держгеокадастр України та на </w:t>
      </w:r>
      <w:r w:rsidRPr="00720DC2">
        <w:rPr>
          <w:rFonts w:cs="Times New Roman"/>
          <w:color w:val="000000"/>
          <w:shd w:val="clear" w:color="auto" w:fill="FFFFFF"/>
          <w:lang w:val="uk-UA"/>
        </w:rPr>
        <w:lastRenderedPageBreak/>
        <w:t>погодження до обласної ради після затвердження рішенням сесії Івано-Франківської міської ради скоригованого генерального плану міста.</w:t>
      </w:r>
    </w:p>
    <w:p w:rsidR="00183E22" w:rsidRPr="00720DC2" w:rsidRDefault="00B765DB" w:rsidP="00183E22">
      <w:pPr>
        <w:ind w:firstLine="709"/>
        <w:jc w:val="both"/>
        <w:rPr>
          <w:lang w:val="uk-UA"/>
        </w:rPr>
      </w:pPr>
      <w:r w:rsidRPr="00720DC2">
        <w:rPr>
          <w:color w:val="000000"/>
          <w:lang w:val="uk-UA" w:eastAsia="uk-UA"/>
        </w:rPr>
        <w:t>У</w:t>
      </w:r>
      <w:r w:rsidR="00183E22" w:rsidRPr="00720DC2">
        <w:rPr>
          <w:color w:val="000000"/>
          <w:lang w:val="uk-UA" w:eastAsia="uk-UA"/>
        </w:rPr>
        <w:t xml:space="preserve"> місті Івано-Франківську </w:t>
      </w:r>
      <w:r w:rsidR="00183E22" w:rsidRPr="00720DC2">
        <w:rPr>
          <w:lang w:val="uk-UA" w:eastAsia="uk-UA"/>
        </w:rPr>
        <w:t>з</w:t>
      </w:r>
      <w:r w:rsidR="00183E22" w:rsidRPr="00720DC2">
        <w:rPr>
          <w:lang w:val="uk-UA"/>
        </w:rPr>
        <w:t>а 2018 р</w:t>
      </w:r>
      <w:r w:rsidR="00094079" w:rsidRPr="00720DC2">
        <w:rPr>
          <w:lang w:val="uk-UA"/>
        </w:rPr>
        <w:t xml:space="preserve">ік вироблено </w:t>
      </w:r>
      <w:r w:rsidR="00183E22" w:rsidRPr="00720DC2">
        <w:rPr>
          <w:lang w:val="uk-UA"/>
        </w:rPr>
        <w:t>будівельн</w:t>
      </w:r>
      <w:r w:rsidR="00094079" w:rsidRPr="00720DC2">
        <w:rPr>
          <w:lang w:val="uk-UA"/>
        </w:rPr>
        <w:t>ої продукції</w:t>
      </w:r>
      <w:r w:rsidR="00183E22" w:rsidRPr="00720DC2">
        <w:rPr>
          <w:lang w:val="uk-UA"/>
        </w:rPr>
        <w:t xml:space="preserve"> на суму </w:t>
      </w:r>
      <w:r w:rsidR="00094079" w:rsidRPr="00720DC2">
        <w:rPr>
          <w:color w:val="000000"/>
          <w:lang w:val="uk-UA"/>
        </w:rPr>
        <w:t>2124,7</w:t>
      </w:r>
      <w:r w:rsidR="00183E22" w:rsidRPr="00720DC2">
        <w:rPr>
          <w:color w:val="FF0000"/>
          <w:lang w:val="uk-UA"/>
        </w:rPr>
        <w:t> </w:t>
      </w:r>
      <w:r w:rsidR="006F1E3B" w:rsidRPr="00720DC2">
        <w:rPr>
          <w:lang w:val="uk-UA"/>
        </w:rPr>
        <w:t>млн грн</w:t>
      </w:r>
      <w:r w:rsidR="00183E22" w:rsidRPr="00720DC2">
        <w:rPr>
          <w:lang w:val="uk-UA"/>
        </w:rPr>
        <w:t xml:space="preserve">, а це </w:t>
      </w:r>
      <w:r w:rsidR="00E62BC6" w:rsidRPr="00720DC2">
        <w:rPr>
          <w:lang w:val="uk-UA"/>
        </w:rPr>
        <w:t>7</w:t>
      </w:r>
      <w:r w:rsidR="00094079" w:rsidRPr="00720DC2">
        <w:rPr>
          <w:lang w:val="uk-UA"/>
        </w:rPr>
        <w:t>1</w:t>
      </w:r>
      <w:r w:rsidR="00E62BC6" w:rsidRPr="00720DC2">
        <w:rPr>
          <w:lang w:val="uk-UA"/>
        </w:rPr>
        <w:t>,</w:t>
      </w:r>
      <w:r w:rsidR="00094079" w:rsidRPr="00720DC2">
        <w:rPr>
          <w:lang w:val="uk-UA"/>
        </w:rPr>
        <w:t>9</w:t>
      </w:r>
      <w:r w:rsidR="00183E22" w:rsidRPr="00720DC2">
        <w:rPr>
          <w:lang w:val="uk-UA"/>
        </w:rPr>
        <w:t xml:space="preserve">% </w:t>
      </w:r>
      <w:r w:rsidR="00E62BC6" w:rsidRPr="00720DC2">
        <w:rPr>
          <w:lang w:val="uk-UA"/>
        </w:rPr>
        <w:t>загальнообласного обсягу.</w:t>
      </w:r>
    </w:p>
    <w:p w:rsidR="00B765DB" w:rsidRPr="00720DC2" w:rsidRDefault="00B765DB" w:rsidP="00183E22">
      <w:pPr>
        <w:ind w:firstLine="709"/>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2835"/>
      </w:tblGrid>
      <w:tr w:rsidR="00183E22" w:rsidRPr="00720DC2" w:rsidTr="00936F89">
        <w:trPr>
          <w:trHeight w:val="335"/>
        </w:trPr>
        <w:tc>
          <w:tcPr>
            <w:tcW w:w="2835" w:type="dxa"/>
            <w:vMerge w:val="restart"/>
            <w:shd w:val="clear" w:color="auto" w:fill="auto"/>
          </w:tcPr>
          <w:p w:rsidR="00183E22" w:rsidRPr="00720DC2" w:rsidRDefault="00183E22" w:rsidP="00183E22">
            <w:pPr>
              <w:ind w:firstLine="709"/>
              <w:jc w:val="both"/>
              <w:rPr>
                <w:color w:val="FF0000"/>
                <w:sz w:val="24"/>
                <w:szCs w:val="24"/>
                <w:lang w:val="uk-UA"/>
              </w:rPr>
            </w:pPr>
          </w:p>
        </w:tc>
        <w:tc>
          <w:tcPr>
            <w:tcW w:w="5812" w:type="dxa"/>
            <w:gridSpan w:val="2"/>
            <w:shd w:val="clear" w:color="auto" w:fill="auto"/>
            <w:vAlign w:val="center"/>
          </w:tcPr>
          <w:p w:rsidR="00183E22" w:rsidRPr="00720DC2" w:rsidRDefault="00183E22" w:rsidP="00094079">
            <w:pPr>
              <w:jc w:val="center"/>
              <w:rPr>
                <w:b/>
                <w:i/>
                <w:sz w:val="24"/>
                <w:szCs w:val="24"/>
                <w:lang w:val="uk-UA"/>
              </w:rPr>
            </w:pPr>
            <w:r w:rsidRPr="00720DC2">
              <w:rPr>
                <w:b/>
                <w:i/>
                <w:sz w:val="24"/>
                <w:szCs w:val="24"/>
                <w:lang w:val="uk-UA"/>
              </w:rPr>
              <w:t>Виконано будівельних робіт у 2018р.</w:t>
            </w:r>
          </w:p>
        </w:tc>
      </w:tr>
      <w:tr w:rsidR="00183E22" w:rsidRPr="00720DC2" w:rsidTr="00936F89">
        <w:trPr>
          <w:trHeight w:val="338"/>
        </w:trPr>
        <w:tc>
          <w:tcPr>
            <w:tcW w:w="2835" w:type="dxa"/>
            <w:vMerge/>
            <w:shd w:val="clear" w:color="auto" w:fill="auto"/>
            <w:vAlign w:val="center"/>
          </w:tcPr>
          <w:p w:rsidR="00183E22" w:rsidRPr="00720DC2" w:rsidRDefault="00183E22" w:rsidP="00183E22">
            <w:pPr>
              <w:ind w:firstLine="709"/>
              <w:jc w:val="both"/>
              <w:rPr>
                <w:color w:val="FF0000"/>
                <w:sz w:val="24"/>
                <w:szCs w:val="24"/>
                <w:lang w:val="uk-UA"/>
              </w:rPr>
            </w:pPr>
          </w:p>
        </w:tc>
        <w:tc>
          <w:tcPr>
            <w:tcW w:w="2977" w:type="dxa"/>
            <w:shd w:val="clear" w:color="auto" w:fill="auto"/>
            <w:vAlign w:val="center"/>
          </w:tcPr>
          <w:p w:rsidR="00183E22" w:rsidRPr="00720DC2" w:rsidRDefault="00CB357C" w:rsidP="00CB357C">
            <w:pPr>
              <w:ind w:firstLine="709"/>
              <w:jc w:val="both"/>
              <w:rPr>
                <w:b/>
                <w:i/>
                <w:sz w:val="24"/>
                <w:szCs w:val="24"/>
                <w:lang w:val="uk-UA"/>
              </w:rPr>
            </w:pPr>
            <w:r>
              <w:rPr>
                <w:b/>
                <w:i/>
                <w:sz w:val="24"/>
                <w:szCs w:val="24"/>
                <w:lang w:val="uk-UA"/>
              </w:rPr>
              <w:t>тис.грн</w:t>
            </w:r>
          </w:p>
        </w:tc>
        <w:tc>
          <w:tcPr>
            <w:tcW w:w="2835" w:type="dxa"/>
            <w:shd w:val="clear" w:color="auto" w:fill="auto"/>
            <w:vAlign w:val="center"/>
          </w:tcPr>
          <w:p w:rsidR="00183E22" w:rsidRPr="00720DC2" w:rsidRDefault="00183E22" w:rsidP="00183E22">
            <w:pPr>
              <w:jc w:val="both"/>
              <w:rPr>
                <w:b/>
                <w:i/>
                <w:sz w:val="24"/>
                <w:szCs w:val="24"/>
                <w:lang w:val="uk-UA"/>
              </w:rPr>
            </w:pPr>
            <w:r w:rsidRPr="00720DC2">
              <w:rPr>
                <w:b/>
                <w:i/>
                <w:sz w:val="24"/>
                <w:szCs w:val="24"/>
                <w:lang w:val="uk-UA"/>
              </w:rPr>
              <w:t>у % до загального обсягу</w:t>
            </w:r>
          </w:p>
        </w:tc>
      </w:tr>
      <w:tr w:rsidR="00183E22" w:rsidRPr="00720DC2" w:rsidTr="00936F89">
        <w:trPr>
          <w:trHeight w:val="231"/>
        </w:trPr>
        <w:tc>
          <w:tcPr>
            <w:tcW w:w="2835" w:type="dxa"/>
            <w:shd w:val="clear" w:color="auto" w:fill="auto"/>
            <w:vAlign w:val="bottom"/>
          </w:tcPr>
          <w:p w:rsidR="00183E22" w:rsidRPr="00720DC2" w:rsidRDefault="00183E22" w:rsidP="00183E22">
            <w:pPr>
              <w:ind w:firstLine="709"/>
              <w:jc w:val="both"/>
              <w:rPr>
                <w:b/>
                <w:sz w:val="24"/>
                <w:szCs w:val="24"/>
                <w:lang w:val="uk-UA"/>
              </w:rPr>
            </w:pPr>
            <w:r w:rsidRPr="00720DC2">
              <w:rPr>
                <w:b/>
                <w:sz w:val="24"/>
                <w:szCs w:val="24"/>
                <w:lang w:val="uk-UA"/>
              </w:rPr>
              <w:t>Будівництво</w:t>
            </w:r>
          </w:p>
        </w:tc>
        <w:tc>
          <w:tcPr>
            <w:tcW w:w="2977" w:type="dxa"/>
            <w:shd w:val="clear" w:color="auto" w:fill="auto"/>
            <w:vAlign w:val="bottom"/>
          </w:tcPr>
          <w:p w:rsidR="00183E22" w:rsidRPr="00720DC2" w:rsidRDefault="00094079" w:rsidP="00183E22">
            <w:pPr>
              <w:ind w:firstLine="709"/>
              <w:jc w:val="both"/>
              <w:rPr>
                <w:b/>
                <w:sz w:val="24"/>
                <w:szCs w:val="24"/>
                <w:lang w:val="uk-UA"/>
              </w:rPr>
            </w:pPr>
            <w:r w:rsidRPr="00720DC2">
              <w:rPr>
                <w:b/>
                <w:sz w:val="24"/>
                <w:szCs w:val="24"/>
                <w:lang w:val="uk-UA"/>
              </w:rPr>
              <w:t>2 124 707</w:t>
            </w:r>
          </w:p>
        </w:tc>
        <w:tc>
          <w:tcPr>
            <w:tcW w:w="2835" w:type="dxa"/>
            <w:shd w:val="clear" w:color="auto" w:fill="auto"/>
            <w:vAlign w:val="bottom"/>
          </w:tcPr>
          <w:p w:rsidR="00183E22" w:rsidRPr="00720DC2" w:rsidRDefault="00936F89" w:rsidP="00183E22">
            <w:pPr>
              <w:ind w:firstLine="709"/>
              <w:jc w:val="both"/>
              <w:rPr>
                <w:b/>
                <w:sz w:val="24"/>
                <w:szCs w:val="24"/>
                <w:lang w:val="uk-UA"/>
              </w:rPr>
            </w:pPr>
            <w:r>
              <w:rPr>
                <w:b/>
                <w:sz w:val="24"/>
                <w:szCs w:val="24"/>
                <w:lang w:val="uk-UA"/>
              </w:rPr>
              <w:t>100%</w:t>
            </w:r>
          </w:p>
        </w:tc>
      </w:tr>
      <w:tr w:rsidR="00183E22" w:rsidRPr="00720DC2" w:rsidTr="00936F89">
        <w:trPr>
          <w:trHeight w:val="265"/>
        </w:trPr>
        <w:tc>
          <w:tcPr>
            <w:tcW w:w="2835" w:type="dxa"/>
            <w:shd w:val="clear" w:color="auto" w:fill="auto"/>
            <w:vAlign w:val="bottom"/>
          </w:tcPr>
          <w:p w:rsidR="00183E22" w:rsidRPr="00720DC2" w:rsidRDefault="00183E22" w:rsidP="00183E22">
            <w:pPr>
              <w:ind w:firstLine="709"/>
              <w:jc w:val="both"/>
              <w:rPr>
                <w:sz w:val="24"/>
                <w:szCs w:val="24"/>
                <w:lang w:val="uk-UA"/>
              </w:rPr>
            </w:pPr>
            <w:r w:rsidRPr="00720DC2">
              <w:rPr>
                <w:sz w:val="24"/>
                <w:szCs w:val="24"/>
                <w:lang w:val="uk-UA"/>
              </w:rPr>
              <w:t>Будівлі</w:t>
            </w:r>
          </w:p>
        </w:tc>
        <w:tc>
          <w:tcPr>
            <w:tcW w:w="2977" w:type="dxa"/>
            <w:shd w:val="clear" w:color="auto" w:fill="auto"/>
            <w:vAlign w:val="bottom"/>
          </w:tcPr>
          <w:p w:rsidR="00183E22" w:rsidRPr="00720DC2" w:rsidRDefault="00094079" w:rsidP="00183E22">
            <w:pPr>
              <w:ind w:firstLine="709"/>
              <w:jc w:val="both"/>
              <w:rPr>
                <w:sz w:val="24"/>
                <w:szCs w:val="24"/>
                <w:lang w:val="uk-UA"/>
              </w:rPr>
            </w:pPr>
            <w:r w:rsidRPr="00720DC2">
              <w:rPr>
                <w:sz w:val="24"/>
                <w:szCs w:val="24"/>
                <w:lang w:val="uk-UA"/>
              </w:rPr>
              <w:t>775 136</w:t>
            </w:r>
          </w:p>
        </w:tc>
        <w:tc>
          <w:tcPr>
            <w:tcW w:w="2835" w:type="dxa"/>
            <w:shd w:val="clear" w:color="auto" w:fill="auto"/>
            <w:vAlign w:val="bottom"/>
          </w:tcPr>
          <w:p w:rsidR="00183E22" w:rsidRPr="00720DC2" w:rsidRDefault="00E62BC6" w:rsidP="00094079">
            <w:pPr>
              <w:ind w:firstLine="709"/>
              <w:jc w:val="both"/>
              <w:rPr>
                <w:sz w:val="24"/>
                <w:szCs w:val="24"/>
                <w:lang w:val="uk-UA"/>
              </w:rPr>
            </w:pPr>
            <w:r w:rsidRPr="00720DC2">
              <w:rPr>
                <w:sz w:val="24"/>
                <w:szCs w:val="24"/>
                <w:lang w:val="uk-UA"/>
              </w:rPr>
              <w:t>3</w:t>
            </w:r>
            <w:r w:rsidR="00094079" w:rsidRPr="00720DC2">
              <w:rPr>
                <w:sz w:val="24"/>
                <w:szCs w:val="24"/>
                <w:lang w:val="uk-UA"/>
              </w:rPr>
              <w:t>6</w:t>
            </w:r>
            <w:r w:rsidRPr="00720DC2">
              <w:rPr>
                <w:sz w:val="24"/>
                <w:szCs w:val="24"/>
                <w:lang w:val="uk-UA"/>
              </w:rPr>
              <w:t>,</w:t>
            </w:r>
            <w:r w:rsidR="00094079" w:rsidRPr="00720DC2">
              <w:rPr>
                <w:sz w:val="24"/>
                <w:szCs w:val="24"/>
                <w:lang w:val="uk-UA"/>
              </w:rPr>
              <w:t>5</w:t>
            </w:r>
            <w:r w:rsidR="00936F89">
              <w:rPr>
                <w:sz w:val="24"/>
                <w:szCs w:val="24"/>
                <w:lang w:val="uk-UA"/>
              </w:rPr>
              <w:t>%</w:t>
            </w:r>
          </w:p>
        </w:tc>
      </w:tr>
      <w:tr w:rsidR="00183E22" w:rsidRPr="00720DC2" w:rsidTr="00936F89">
        <w:tc>
          <w:tcPr>
            <w:tcW w:w="2835" w:type="dxa"/>
            <w:shd w:val="clear" w:color="auto" w:fill="auto"/>
            <w:vAlign w:val="bottom"/>
          </w:tcPr>
          <w:p w:rsidR="00183E22" w:rsidRPr="00720DC2" w:rsidRDefault="0036023F" w:rsidP="00183E22">
            <w:pPr>
              <w:ind w:firstLine="709"/>
              <w:jc w:val="both"/>
              <w:rPr>
                <w:sz w:val="24"/>
                <w:szCs w:val="24"/>
                <w:lang w:val="uk-UA"/>
              </w:rPr>
            </w:pPr>
            <w:r w:rsidRPr="00720DC2">
              <w:rPr>
                <w:sz w:val="24"/>
                <w:szCs w:val="24"/>
                <w:lang w:val="uk-UA"/>
              </w:rPr>
              <w:t xml:space="preserve">- </w:t>
            </w:r>
            <w:r w:rsidR="00183E22" w:rsidRPr="00720DC2">
              <w:rPr>
                <w:sz w:val="24"/>
                <w:szCs w:val="24"/>
                <w:lang w:val="uk-UA"/>
              </w:rPr>
              <w:t>житлові</w:t>
            </w:r>
          </w:p>
        </w:tc>
        <w:tc>
          <w:tcPr>
            <w:tcW w:w="2977" w:type="dxa"/>
            <w:shd w:val="clear" w:color="auto" w:fill="auto"/>
            <w:vAlign w:val="bottom"/>
          </w:tcPr>
          <w:p w:rsidR="00183E22" w:rsidRPr="00720DC2" w:rsidRDefault="00094079" w:rsidP="00183E22">
            <w:pPr>
              <w:ind w:firstLine="709"/>
              <w:jc w:val="both"/>
              <w:rPr>
                <w:sz w:val="24"/>
                <w:szCs w:val="24"/>
                <w:lang w:val="uk-UA"/>
              </w:rPr>
            </w:pPr>
            <w:r w:rsidRPr="00720DC2">
              <w:rPr>
                <w:sz w:val="24"/>
                <w:szCs w:val="24"/>
                <w:lang w:val="uk-UA"/>
              </w:rPr>
              <w:t>431 865</w:t>
            </w:r>
          </w:p>
        </w:tc>
        <w:tc>
          <w:tcPr>
            <w:tcW w:w="2835" w:type="dxa"/>
            <w:shd w:val="clear" w:color="auto" w:fill="auto"/>
            <w:vAlign w:val="bottom"/>
          </w:tcPr>
          <w:p w:rsidR="00183E22" w:rsidRPr="00720DC2" w:rsidRDefault="00E62BC6" w:rsidP="00094079">
            <w:pPr>
              <w:ind w:firstLine="709"/>
              <w:jc w:val="both"/>
              <w:rPr>
                <w:sz w:val="24"/>
                <w:szCs w:val="24"/>
                <w:lang w:val="uk-UA"/>
              </w:rPr>
            </w:pPr>
            <w:r w:rsidRPr="00720DC2">
              <w:rPr>
                <w:sz w:val="24"/>
                <w:szCs w:val="24"/>
                <w:lang w:val="uk-UA"/>
              </w:rPr>
              <w:t>2</w:t>
            </w:r>
            <w:r w:rsidR="00094079" w:rsidRPr="00720DC2">
              <w:rPr>
                <w:sz w:val="24"/>
                <w:szCs w:val="24"/>
                <w:lang w:val="uk-UA"/>
              </w:rPr>
              <w:t>0</w:t>
            </w:r>
            <w:r w:rsidRPr="00720DC2">
              <w:rPr>
                <w:sz w:val="24"/>
                <w:szCs w:val="24"/>
                <w:lang w:val="uk-UA"/>
              </w:rPr>
              <w:t>,3</w:t>
            </w:r>
            <w:r w:rsidR="00936F89" w:rsidRPr="00936F89">
              <w:rPr>
                <w:sz w:val="24"/>
                <w:szCs w:val="24"/>
                <w:lang w:val="uk-UA"/>
              </w:rPr>
              <w:t>%</w:t>
            </w:r>
          </w:p>
        </w:tc>
      </w:tr>
      <w:tr w:rsidR="00183E22" w:rsidRPr="00720DC2" w:rsidTr="00936F89">
        <w:tc>
          <w:tcPr>
            <w:tcW w:w="2835" w:type="dxa"/>
            <w:shd w:val="clear" w:color="auto" w:fill="auto"/>
            <w:vAlign w:val="bottom"/>
          </w:tcPr>
          <w:p w:rsidR="00183E22" w:rsidRPr="00720DC2" w:rsidRDefault="0036023F" w:rsidP="00183E22">
            <w:pPr>
              <w:ind w:firstLine="709"/>
              <w:jc w:val="both"/>
              <w:rPr>
                <w:sz w:val="24"/>
                <w:szCs w:val="24"/>
                <w:lang w:val="uk-UA"/>
              </w:rPr>
            </w:pPr>
            <w:r w:rsidRPr="00720DC2">
              <w:rPr>
                <w:sz w:val="24"/>
                <w:szCs w:val="24"/>
                <w:lang w:val="uk-UA"/>
              </w:rPr>
              <w:t xml:space="preserve">- </w:t>
            </w:r>
            <w:r w:rsidR="00183E22" w:rsidRPr="00720DC2">
              <w:rPr>
                <w:sz w:val="24"/>
                <w:szCs w:val="24"/>
                <w:lang w:val="uk-UA"/>
              </w:rPr>
              <w:t>нежитлові</w:t>
            </w:r>
          </w:p>
        </w:tc>
        <w:tc>
          <w:tcPr>
            <w:tcW w:w="2977" w:type="dxa"/>
            <w:shd w:val="clear" w:color="auto" w:fill="auto"/>
            <w:vAlign w:val="bottom"/>
          </w:tcPr>
          <w:p w:rsidR="00183E22" w:rsidRPr="00720DC2" w:rsidRDefault="00094079" w:rsidP="00183E22">
            <w:pPr>
              <w:ind w:firstLine="709"/>
              <w:jc w:val="both"/>
              <w:rPr>
                <w:sz w:val="24"/>
                <w:szCs w:val="24"/>
                <w:lang w:val="uk-UA"/>
              </w:rPr>
            </w:pPr>
            <w:r w:rsidRPr="00720DC2">
              <w:rPr>
                <w:sz w:val="24"/>
                <w:szCs w:val="24"/>
                <w:lang w:val="uk-UA"/>
              </w:rPr>
              <w:t>343 271</w:t>
            </w:r>
          </w:p>
        </w:tc>
        <w:tc>
          <w:tcPr>
            <w:tcW w:w="2835" w:type="dxa"/>
            <w:shd w:val="clear" w:color="auto" w:fill="auto"/>
            <w:vAlign w:val="bottom"/>
          </w:tcPr>
          <w:p w:rsidR="00183E22" w:rsidRPr="00720DC2" w:rsidRDefault="00E62BC6" w:rsidP="00094079">
            <w:pPr>
              <w:ind w:firstLine="709"/>
              <w:jc w:val="both"/>
              <w:rPr>
                <w:sz w:val="24"/>
                <w:szCs w:val="24"/>
                <w:lang w:val="uk-UA"/>
              </w:rPr>
            </w:pPr>
            <w:r w:rsidRPr="00720DC2">
              <w:rPr>
                <w:sz w:val="24"/>
                <w:szCs w:val="24"/>
                <w:lang w:val="uk-UA"/>
              </w:rPr>
              <w:t>16</w:t>
            </w:r>
            <w:r w:rsidR="00094079" w:rsidRPr="00720DC2">
              <w:rPr>
                <w:sz w:val="24"/>
                <w:szCs w:val="24"/>
                <w:lang w:val="uk-UA"/>
              </w:rPr>
              <w:t>,2</w:t>
            </w:r>
            <w:r w:rsidR="00936F89" w:rsidRPr="00936F89">
              <w:rPr>
                <w:sz w:val="24"/>
                <w:szCs w:val="24"/>
                <w:lang w:val="uk-UA"/>
              </w:rPr>
              <w:t>%</w:t>
            </w:r>
          </w:p>
        </w:tc>
      </w:tr>
      <w:tr w:rsidR="00183E22" w:rsidRPr="00720DC2" w:rsidTr="00936F89">
        <w:tc>
          <w:tcPr>
            <w:tcW w:w="2835" w:type="dxa"/>
            <w:shd w:val="clear" w:color="auto" w:fill="auto"/>
            <w:vAlign w:val="bottom"/>
          </w:tcPr>
          <w:p w:rsidR="00183E22" w:rsidRPr="00720DC2" w:rsidRDefault="00183E22" w:rsidP="00183E22">
            <w:pPr>
              <w:jc w:val="both"/>
              <w:rPr>
                <w:sz w:val="24"/>
                <w:szCs w:val="24"/>
                <w:lang w:val="uk-UA"/>
              </w:rPr>
            </w:pPr>
            <w:r w:rsidRPr="00720DC2">
              <w:rPr>
                <w:sz w:val="24"/>
                <w:szCs w:val="24"/>
                <w:lang w:val="uk-UA"/>
              </w:rPr>
              <w:t>Інженерні споруди</w:t>
            </w:r>
          </w:p>
        </w:tc>
        <w:tc>
          <w:tcPr>
            <w:tcW w:w="2977" w:type="dxa"/>
            <w:shd w:val="clear" w:color="auto" w:fill="auto"/>
            <w:vAlign w:val="bottom"/>
          </w:tcPr>
          <w:p w:rsidR="00183E22" w:rsidRPr="00720DC2" w:rsidRDefault="00094079" w:rsidP="00183E22">
            <w:pPr>
              <w:ind w:firstLine="709"/>
              <w:jc w:val="both"/>
              <w:rPr>
                <w:sz w:val="24"/>
                <w:szCs w:val="24"/>
                <w:lang w:val="uk-UA"/>
              </w:rPr>
            </w:pPr>
            <w:r w:rsidRPr="00720DC2">
              <w:rPr>
                <w:sz w:val="24"/>
                <w:szCs w:val="24"/>
                <w:lang w:val="uk-UA"/>
              </w:rPr>
              <w:t>1 349 571</w:t>
            </w:r>
          </w:p>
        </w:tc>
        <w:tc>
          <w:tcPr>
            <w:tcW w:w="2835" w:type="dxa"/>
            <w:shd w:val="clear" w:color="auto" w:fill="auto"/>
            <w:vAlign w:val="bottom"/>
          </w:tcPr>
          <w:p w:rsidR="00183E22" w:rsidRPr="00720DC2" w:rsidRDefault="00E62BC6" w:rsidP="00094079">
            <w:pPr>
              <w:ind w:firstLine="709"/>
              <w:jc w:val="both"/>
              <w:rPr>
                <w:sz w:val="24"/>
                <w:szCs w:val="24"/>
                <w:lang w:val="uk-UA"/>
              </w:rPr>
            </w:pPr>
            <w:r w:rsidRPr="00720DC2">
              <w:rPr>
                <w:sz w:val="24"/>
                <w:szCs w:val="24"/>
                <w:lang w:val="uk-UA"/>
              </w:rPr>
              <w:t>6</w:t>
            </w:r>
            <w:r w:rsidR="00094079" w:rsidRPr="00720DC2">
              <w:rPr>
                <w:sz w:val="24"/>
                <w:szCs w:val="24"/>
                <w:lang w:val="uk-UA"/>
              </w:rPr>
              <w:t>3</w:t>
            </w:r>
            <w:r w:rsidRPr="00720DC2">
              <w:rPr>
                <w:sz w:val="24"/>
                <w:szCs w:val="24"/>
                <w:lang w:val="uk-UA"/>
              </w:rPr>
              <w:t>,</w:t>
            </w:r>
            <w:r w:rsidR="00094079" w:rsidRPr="00720DC2">
              <w:rPr>
                <w:sz w:val="24"/>
                <w:szCs w:val="24"/>
                <w:lang w:val="uk-UA"/>
              </w:rPr>
              <w:t>5</w:t>
            </w:r>
            <w:r w:rsidR="00936F89" w:rsidRPr="00936F89">
              <w:rPr>
                <w:sz w:val="24"/>
                <w:szCs w:val="24"/>
                <w:lang w:val="uk-UA"/>
              </w:rPr>
              <w:t>%</w:t>
            </w:r>
          </w:p>
        </w:tc>
      </w:tr>
    </w:tbl>
    <w:p w:rsidR="00183E22" w:rsidRPr="00720DC2" w:rsidRDefault="00183E22" w:rsidP="00183E22">
      <w:pPr>
        <w:ind w:firstLine="709"/>
        <w:jc w:val="both"/>
        <w:rPr>
          <w:lang w:val="uk-UA"/>
        </w:rPr>
      </w:pPr>
      <w:r w:rsidRPr="00720DC2">
        <w:rPr>
          <w:lang w:val="uk-UA"/>
        </w:rPr>
        <w:t xml:space="preserve">Нове будівництво, реконструкція та технічне переоснащення склали </w:t>
      </w:r>
      <w:r w:rsidR="00094079" w:rsidRPr="00720DC2">
        <w:rPr>
          <w:lang w:val="uk-UA"/>
        </w:rPr>
        <w:t>61,8</w:t>
      </w:r>
      <w:r w:rsidRPr="00720DC2">
        <w:rPr>
          <w:lang w:val="uk-UA"/>
        </w:rPr>
        <w:t xml:space="preserve">% від загального обсягу виконаних будівельних робіт, капітальний і поточний ремонти – </w:t>
      </w:r>
      <w:r w:rsidR="00E62BC6" w:rsidRPr="00720DC2">
        <w:rPr>
          <w:lang w:val="uk-UA"/>
        </w:rPr>
        <w:t>3</w:t>
      </w:r>
      <w:r w:rsidR="00094079" w:rsidRPr="00720DC2">
        <w:rPr>
          <w:lang w:val="uk-UA"/>
        </w:rPr>
        <w:t>3</w:t>
      </w:r>
      <w:r w:rsidR="00E62BC6" w:rsidRPr="00720DC2">
        <w:rPr>
          <w:lang w:val="uk-UA"/>
        </w:rPr>
        <w:t>,</w:t>
      </w:r>
      <w:r w:rsidR="00094079" w:rsidRPr="00720DC2">
        <w:rPr>
          <w:lang w:val="uk-UA"/>
        </w:rPr>
        <w:t>9</w:t>
      </w:r>
      <w:r w:rsidRPr="00720DC2">
        <w:rPr>
          <w:lang w:val="uk-UA"/>
        </w:rPr>
        <w:t xml:space="preserve">% та </w:t>
      </w:r>
      <w:r w:rsidR="00E62BC6" w:rsidRPr="00720DC2">
        <w:rPr>
          <w:lang w:val="uk-UA"/>
        </w:rPr>
        <w:t>4,</w:t>
      </w:r>
      <w:r w:rsidR="00094079" w:rsidRPr="00720DC2">
        <w:rPr>
          <w:lang w:val="uk-UA"/>
        </w:rPr>
        <w:t>3</w:t>
      </w:r>
      <w:r w:rsidRPr="00720DC2">
        <w:rPr>
          <w:lang w:val="uk-UA"/>
        </w:rPr>
        <w:t>% відповідно.</w:t>
      </w:r>
    </w:p>
    <w:p w:rsidR="00183E22" w:rsidRPr="00720DC2" w:rsidRDefault="00183E22" w:rsidP="00183E22">
      <w:pPr>
        <w:tabs>
          <w:tab w:val="left" w:pos="400"/>
        </w:tabs>
        <w:ind w:firstLine="709"/>
        <w:jc w:val="both"/>
        <w:rPr>
          <w:lang w:val="uk-UA"/>
        </w:rPr>
      </w:pPr>
      <w:r w:rsidRPr="00720DC2">
        <w:rPr>
          <w:lang w:val="uk-UA"/>
        </w:rPr>
        <w:t xml:space="preserve">Підготовлено та подано на розгляд регіональної комісії 4 інвестиційні проекти регіонального розвитку, що можуть реалізуватися у 2019 році за рахунок коштів державного фонду регіонального розвитку: </w:t>
      </w:r>
    </w:p>
    <w:p w:rsidR="00183E22" w:rsidRPr="00720DC2" w:rsidRDefault="00183E22" w:rsidP="00183E22">
      <w:pPr>
        <w:tabs>
          <w:tab w:val="left" w:pos="709"/>
          <w:tab w:val="left" w:pos="1080"/>
        </w:tabs>
        <w:ind w:right="99"/>
        <w:jc w:val="both"/>
        <w:rPr>
          <w:lang w:val="uk-UA"/>
        </w:rPr>
      </w:pPr>
      <w:r w:rsidRPr="00720DC2">
        <w:rPr>
          <w:lang w:val="uk-UA"/>
        </w:rPr>
        <w:tab/>
        <w:t xml:space="preserve">- </w:t>
      </w:r>
      <w:r w:rsidR="00D4778A" w:rsidRPr="00720DC2">
        <w:rPr>
          <w:lang w:val="uk-UA"/>
        </w:rPr>
        <w:t>"</w:t>
      </w:r>
      <w:r w:rsidRPr="00720DC2">
        <w:rPr>
          <w:lang w:val="uk-UA"/>
        </w:rPr>
        <w:t xml:space="preserve">Будівництво дитячого садка в мікрорайоні </w:t>
      </w:r>
      <w:r w:rsidR="00D4778A" w:rsidRPr="00720DC2">
        <w:rPr>
          <w:lang w:val="uk-UA"/>
        </w:rPr>
        <w:t>"</w:t>
      </w:r>
      <w:r w:rsidRPr="00720DC2">
        <w:rPr>
          <w:lang w:val="uk-UA"/>
        </w:rPr>
        <w:t>Каскад</w:t>
      </w:r>
      <w:r w:rsidR="00D4778A" w:rsidRPr="00720DC2">
        <w:rPr>
          <w:lang w:val="uk-UA"/>
        </w:rPr>
        <w:t>"</w:t>
      </w:r>
      <w:r w:rsidRPr="00720DC2">
        <w:rPr>
          <w:lang w:val="uk-UA"/>
        </w:rPr>
        <w:t xml:space="preserve"> в м.Івано-Франківську</w:t>
      </w:r>
      <w:r w:rsidR="00D4778A" w:rsidRPr="00720DC2">
        <w:rPr>
          <w:lang w:val="uk-UA"/>
        </w:rPr>
        <w:t>"</w:t>
      </w:r>
      <w:r w:rsidRPr="00720DC2">
        <w:rPr>
          <w:lang w:val="uk-UA"/>
        </w:rPr>
        <w:t>;</w:t>
      </w:r>
    </w:p>
    <w:p w:rsidR="00183E22" w:rsidRPr="00720DC2" w:rsidRDefault="00183E22" w:rsidP="00183E22">
      <w:pPr>
        <w:tabs>
          <w:tab w:val="left" w:pos="709"/>
          <w:tab w:val="left" w:pos="993"/>
        </w:tabs>
        <w:jc w:val="both"/>
        <w:rPr>
          <w:lang w:val="uk-UA"/>
        </w:rPr>
      </w:pPr>
      <w:r w:rsidRPr="00720DC2">
        <w:rPr>
          <w:lang w:val="uk-UA"/>
        </w:rPr>
        <w:tab/>
        <w:t xml:space="preserve">- </w:t>
      </w:r>
      <w:r w:rsidR="00D4778A" w:rsidRPr="00720DC2">
        <w:rPr>
          <w:lang w:val="uk-UA"/>
        </w:rPr>
        <w:t>"</w:t>
      </w:r>
      <w:r w:rsidRPr="00720DC2">
        <w:rPr>
          <w:lang w:val="uk-UA"/>
        </w:rPr>
        <w:t>Будівництво басейну в ФОК в м.Івано-Франківську, вул.Симоненка,13</w:t>
      </w:r>
      <w:r w:rsidR="00D4778A" w:rsidRPr="00720DC2">
        <w:rPr>
          <w:lang w:val="uk-UA"/>
        </w:rPr>
        <w:t>"</w:t>
      </w:r>
      <w:r w:rsidRPr="00720DC2">
        <w:rPr>
          <w:lang w:val="uk-UA"/>
        </w:rPr>
        <w:t xml:space="preserve">; </w:t>
      </w:r>
    </w:p>
    <w:p w:rsidR="00183E22" w:rsidRPr="00720DC2" w:rsidRDefault="00D4778A" w:rsidP="00183E22">
      <w:pPr>
        <w:numPr>
          <w:ilvl w:val="0"/>
          <w:numId w:val="4"/>
        </w:numPr>
        <w:tabs>
          <w:tab w:val="left" w:pos="709"/>
          <w:tab w:val="left" w:pos="993"/>
        </w:tabs>
        <w:ind w:left="0" w:right="-73" w:firstLine="720"/>
        <w:jc w:val="both"/>
        <w:rPr>
          <w:lang w:val="uk-UA"/>
        </w:rPr>
      </w:pPr>
      <w:r w:rsidRPr="00720DC2">
        <w:rPr>
          <w:lang w:val="uk-UA"/>
        </w:rPr>
        <w:t>"</w:t>
      </w:r>
      <w:r w:rsidR="00183E22" w:rsidRPr="00720DC2">
        <w:rPr>
          <w:lang w:val="uk-UA"/>
        </w:rPr>
        <w:t>Капітальний ремонт тротуару з влаштуванням велодоріжки на вул. Північний Бульвар в м. Івано-Франківськ</w:t>
      </w:r>
      <w:r w:rsidRPr="00720DC2">
        <w:rPr>
          <w:lang w:val="uk-UA"/>
        </w:rPr>
        <w:t>"</w:t>
      </w:r>
      <w:r w:rsidR="00183E22" w:rsidRPr="00720DC2">
        <w:rPr>
          <w:lang w:val="uk-UA"/>
        </w:rPr>
        <w:t>;</w:t>
      </w:r>
    </w:p>
    <w:p w:rsidR="00183E22" w:rsidRPr="00720DC2" w:rsidRDefault="00183E22" w:rsidP="00183E22">
      <w:pPr>
        <w:tabs>
          <w:tab w:val="left" w:pos="709"/>
        </w:tabs>
        <w:ind w:firstLine="720"/>
        <w:jc w:val="both"/>
        <w:rPr>
          <w:rFonts w:eastAsia="Times New Roman" w:cs="Times New Roman"/>
          <w:lang w:val="uk-UA" w:eastAsia="ru-RU"/>
        </w:rPr>
      </w:pPr>
      <w:r w:rsidRPr="00720DC2">
        <w:rPr>
          <w:lang w:val="uk-UA"/>
        </w:rPr>
        <w:t xml:space="preserve">- </w:t>
      </w:r>
      <w:r w:rsidR="00D4778A" w:rsidRPr="00720DC2">
        <w:rPr>
          <w:lang w:val="uk-UA"/>
        </w:rPr>
        <w:t>"</w:t>
      </w:r>
      <w:r w:rsidRPr="00720DC2">
        <w:rPr>
          <w:lang w:val="uk-UA"/>
        </w:rPr>
        <w:t>Організація дорожнього руху на кільцевій розв'язці Гетьмана Мазепи – О.Довженка - Крихівецька - Набережна ім. В.Стефаника в м.Івано-Франківськ</w:t>
      </w:r>
      <w:r w:rsidR="00D4778A" w:rsidRPr="00720DC2">
        <w:rPr>
          <w:lang w:val="uk-UA"/>
        </w:rPr>
        <w:t>"</w:t>
      </w:r>
      <w:r w:rsidRPr="00720DC2">
        <w:rPr>
          <w:lang w:val="uk-UA"/>
        </w:rPr>
        <w:t>.</w:t>
      </w:r>
      <w:r w:rsidRPr="00720DC2">
        <w:rPr>
          <w:rFonts w:eastAsia="Times New Roman" w:cs="Times New Roman"/>
          <w:lang w:val="uk-UA" w:eastAsia="ru-RU"/>
        </w:rPr>
        <w:t xml:space="preserve"> </w:t>
      </w:r>
    </w:p>
    <w:p w:rsidR="00054631" w:rsidRPr="00720DC2" w:rsidRDefault="00054631" w:rsidP="00183E22">
      <w:pPr>
        <w:tabs>
          <w:tab w:val="left" w:pos="709"/>
        </w:tabs>
        <w:ind w:firstLine="720"/>
        <w:jc w:val="both"/>
        <w:rPr>
          <w:rFonts w:eastAsia="Times New Roman" w:cs="Times New Roman"/>
          <w:lang w:val="uk-UA" w:eastAsia="ru-RU"/>
        </w:rPr>
      </w:pPr>
    </w:p>
    <w:p w:rsidR="00183E22" w:rsidRPr="00720DC2" w:rsidRDefault="00183E22" w:rsidP="00183E22">
      <w:pPr>
        <w:tabs>
          <w:tab w:val="left" w:pos="720"/>
        </w:tabs>
        <w:ind w:firstLine="720"/>
        <w:jc w:val="both"/>
        <w:rPr>
          <w:i/>
          <w:lang w:val="uk-UA"/>
        </w:rPr>
      </w:pPr>
      <w:r w:rsidRPr="00720DC2">
        <w:rPr>
          <w:i/>
          <w:lang w:val="uk-UA"/>
        </w:rPr>
        <w:t>2.5 Житлово-комунальне господарство, житлова політика</w:t>
      </w:r>
    </w:p>
    <w:p w:rsidR="001B0B8C" w:rsidRPr="00720DC2" w:rsidRDefault="001B0B8C" w:rsidP="001B0B8C">
      <w:pPr>
        <w:ind w:firstLine="708"/>
        <w:jc w:val="both"/>
        <w:rPr>
          <w:rFonts w:eastAsia="Times New Roman" w:cs="Times New Roman"/>
          <w:lang w:val="uk-UA" w:eastAsia="ru-RU"/>
        </w:rPr>
      </w:pPr>
      <w:r w:rsidRPr="00720DC2">
        <w:rPr>
          <w:rFonts w:eastAsia="Times New Roman" w:cs="Times New Roman"/>
          <w:lang w:val="uk-UA" w:eastAsia="ru-RU"/>
        </w:rPr>
        <w:t xml:space="preserve">Виконуються роботи з капітального ремонту прибудинкових територій та міжбудинкових проїздів </w:t>
      </w:r>
      <w:r w:rsidR="00D87CE7">
        <w:rPr>
          <w:rFonts w:eastAsia="Times New Roman" w:cs="Times New Roman"/>
          <w:lang w:val="uk-UA" w:eastAsia="ru-RU"/>
        </w:rPr>
        <w:t>на</w:t>
      </w:r>
      <w:r w:rsidRPr="00720DC2">
        <w:rPr>
          <w:rFonts w:eastAsia="Times New Roman" w:cs="Times New Roman"/>
          <w:lang w:val="uk-UA" w:eastAsia="ru-RU"/>
        </w:rPr>
        <w:t xml:space="preserve"> вулицях Галицькій, 132 корпус 1, 2, 3; Сухомлинського, 4, 4А, 4Б, 6А; Бельведерськ</w:t>
      </w:r>
      <w:r w:rsidR="00D87CE7">
        <w:rPr>
          <w:rFonts w:eastAsia="Times New Roman" w:cs="Times New Roman"/>
          <w:lang w:val="uk-UA" w:eastAsia="ru-RU"/>
        </w:rPr>
        <w:t>ій</w:t>
      </w:r>
      <w:r w:rsidRPr="00720DC2">
        <w:rPr>
          <w:rFonts w:eastAsia="Times New Roman" w:cs="Times New Roman"/>
          <w:lang w:val="uk-UA" w:eastAsia="ru-RU"/>
        </w:rPr>
        <w:t>, 12-16;  Вовчинецьк</w:t>
      </w:r>
      <w:r w:rsidR="00D87CE7">
        <w:rPr>
          <w:rFonts w:eastAsia="Times New Roman" w:cs="Times New Roman"/>
          <w:lang w:val="uk-UA" w:eastAsia="ru-RU"/>
        </w:rPr>
        <w:t>ій</w:t>
      </w:r>
      <w:r w:rsidRPr="00720DC2">
        <w:rPr>
          <w:rFonts w:eastAsia="Times New Roman" w:cs="Times New Roman"/>
          <w:lang w:val="uk-UA" w:eastAsia="ru-RU"/>
        </w:rPr>
        <w:t xml:space="preserve">, 178; Івана Павла ІІ, 12; Івана Павла ІІ, 9; Кардинала Любомира  Гузара 7А, а також тротуару та прибудинкової території </w:t>
      </w:r>
      <w:r w:rsidR="00D87CE7">
        <w:rPr>
          <w:rFonts w:eastAsia="Times New Roman" w:cs="Times New Roman"/>
          <w:lang w:val="uk-UA" w:eastAsia="ru-RU"/>
        </w:rPr>
        <w:t>на</w:t>
      </w:r>
      <w:r w:rsidRPr="00720DC2">
        <w:rPr>
          <w:rFonts w:eastAsia="Times New Roman" w:cs="Times New Roman"/>
          <w:lang w:val="uk-UA" w:eastAsia="ru-RU"/>
        </w:rPr>
        <w:t xml:space="preserve"> вул. Молодіжн</w:t>
      </w:r>
      <w:r w:rsidR="00D87CE7">
        <w:rPr>
          <w:rFonts w:eastAsia="Times New Roman" w:cs="Times New Roman"/>
          <w:lang w:val="uk-UA" w:eastAsia="ru-RU"/>
        </w:rPr>
        <w:t>ій</w:t>
      </w:r>
      <w:r w:rsidRPr="00720DC2">
        <w:rPr>
          <w:rFonts w:eastAsia="Times New Roman" w:cs="Times New Roman"/>
          <w:lang w:val="uk-UA" w:eastAsia="ru-RU"/>
        </w:rPr>
        <w:t xml:space="preserve">, 44-48. </w:t>
      </w:r>
    </w:p>
    <w:p w:rsidR="001B0B8C" w:rsidRPr="00720DC2" w:rsidRDefault="00BC588E" w:rsidP="001B0B8C">
      <w:pPr>
        <w:ind w:firstLine="708"/>
        <w:jc w:val="both"/>
        <w:rPr>
          <w:rFonts w:eastAsia="Times New Roman" w:cs="Times New Roman"/>
          <w:lang w:val="uk-UA" w:eastAsia="ru-RU"/>
        </w:rPr>
      </w:pPr>
      <w:r>
        <w:rPr>
          <w:rFonts w:eastAsia="Times New Roman" w:cs="Times New Roman"/>
          <w:lang w:val="uk-UA" w:eastAsia="ru-RU"/>
        </w:rPr>
        <w:t>А також</w:t>
      </w:r>
      <w:r w:rsidR="001B0B8C" w:rsidRPr="00720DC2">
        <w:rPr>
          <w:rFonts w:eastAsia="Times New Roman" w:cs="Times New Roman"/>
          <w:lang w:val="uk-UA" w:eastAsia="ru-RU"/>
        </w:rPr>
        <w:t xml:space="preserve"> завершено капітальний ремонт вулиць Молодіжна, 42-50;  Сорохтея, 26 і тротуару та проїзду до ДНЗ № 34 </w:t>
      </w:r>
      <w:r w:rsidR="00D4778A" w:rsidRPr="00720DC2">
        <w:rPr>
          <w:rFonts w:eastAsia="Times New Roman" w:cs="Times New Roman"/>
          <w:lang w:val="uk-UA" w:eastAsia="ru-RU"/>
        </w:rPr>
        <w:t>"</w:t>
      </w:r>
      <w:r w:rsidR="001B0B8C" w:rsidRPr="00720DC2">
        <w:rPr>
          <w:rFonts w:eastAsia="Times New Roman" w:cs="Times New Roman"/>
          <w:lang w:val="uk-UA" w:eastAsia="ru-RU"/>
        </w:rPr>
        <w:t>Незабудка</w:t>
      </w:r>
      <w:r w:rsidR="00D4778A" w:rsidRPr="00720DC2">
        <w:rPr>
          <w:rFonts w:eastAsia="Times New Roman" w:cs="Times New Roman"/>
          <w:lang w:val="uk-UA" w:eastAsia="ru-RU"/>
        </w:rPr>
        <w:t>"</w:t>
      </w:r>
      <w:r w:rsidR="001B0B8C" w:rsidRPr="00720DC2">
        <w:rPr>
          <w:rFonts w:eastAsia="Times New Roman" w:cs="Times New Roman"/>
          <w:lang w:val="uk-UA" w:eastAsia="ru-RU"/>
        </w:rPr>
        <w:t xml:space="preserve"> </w:t>
      </w:r>
      <w:r w:rsidR="00D87CE7">
        <w:rPr>
          <w:rFonts w:eastAsia="Times New Roman" w:cs="Times New Roman"/>
          <w:lang w:val="uk-UA" w:eastAsia="ru-RU"/>
        </w:rPr>
        <w:t>на</w:t>
      </w:r>
      <w:r w:rsidR="001B0B8C" w:rsidRPr="00720DC2">
        <w:rPr>
          <w:rFonts w:eastAsia="Times New Roman" w:cs="Times New Roman"/>
          <w:lang w:val="uk-UA" w:eastAsia="ru-RU"/>
        </w:rPr>
        <w:t xml:space="preserve">  вул. Хіміків, 4А.</w:t>
      </w:r>
    </w:p>
    <w:p w:rsidR="001B0B8C" w:rsidRPr="00720DC2" w:rsidRDefault="001B0B8C" w:rsidP="001B0B8C">
      <w:pPr>
        <w:ind w:firstLine="720"/>
        <w:jc w:val="both"/>
        <w:rPr>
          <w:rFonts w:eastAsia="Times New Roman" w:cs="Times New Roman"/>
          <w:lang w:val="uk-UA" w:eastAsia="ru-RU"/>
        </w:rPr>
      </w:pPr>
      <w:r w:rsidRPr="00720DC2">
        <w:rPr>
          <w:color w:val="000000"/>
          <w:shd w:val="clear" w:color="auto" w:fill="FFFFFF"/>
          <w:lang w:val="uk-UA"/>
        </w:rPr>
        <w:t xml:space="preserve">Проведено роботи із встановлення захисних огороджень, антипаркувальних стовпчиків та інших обмежуючих </w:t>
      </w:r>
      <w:r w:rsidR="00D87CE7">
        <w:rPr>
          <w:color w:val="000000"/>
          <w:shd w:val="clear" w:color="auto" w:fill="FFFFFF"/>
          <w:lang w:val="uk-UA"/>
        </w:rPr>
        <w:t>пристроїв на суму 369,8 тис.грн</w:t>
      </w:r>
      <w:r w:rsidRPr="00720DC2">
        <w:rPr>
          <w:color w:val="000000"/>
          <w:shd w:val="clear" w:color="auto" w:fill="FFFFFF"/>
          <w:lang w:val="uk-UA"/>
        </w:rPr>
        <w:t>, встановлено антипаркувальні стовпчики на вул.Тринітарській, Станіславській, Крушельницької (навпроти філармонії) та в центральній частині міста.</w:t>
      </w:r>
      <w:r w:rsidRPr="00720DC2">
        <w:rPr>
          <w:rFonts w:eastAsia="Times New Roman" w:cs="Times New Roman"/>
          <w:lang w:val="uk-UA" w:eastAsia="ru-RU"/>
        </w:rPr>
        <w:t xml:space="preserve"> </w:t>
      </w:r>
    </w:p>
    <w:p w:rsidR="001B0B8C" w:rsidRPr="00720DC2" w:rsidRDefault="001B0B8C" w:rsidP="001B0B8C">
      <w:pPr>
        <w:ind w:firstLine="720"/>
        <w:jc w:val="both"/>
        <w:rPr>
          <w:lang w:val="uk-UA"/>
        </w:rPr>
      </w:pPr>
      <w:r w:rsidRPr="00720DC2">
        <w:rPr>
          <w:lang w:val="uk-UA"/>
        </w:rPr>
        <w:t xml:space="preserve">Не менш важливим та успішним було здійснення капітальних ремонтів міжбудинкових проїздів та облаштування прибудинкових територій. На ці </w:t>
      </w:r>
      <w:r w:rsidR="00404051" w:rsidRPr="00720DC2">
        <w:rPr>
          <w:lang w:val="uk-UA"/>
        </w:rPr>
        <w:t>заходи</w:t>
      </w:r>
      <w:r w:rsidRPr="00720DC2">
        <w:rPr>
          <w:color w:val="FF0000"/>
          <w:lang w:val="uk-UA"/>
        </w:rPr>
        <w:t xml:space="preserve"> </w:t>
      </w:r>
      <w:r w:rsidRPr="00720DC2">
        <w:rPr>
          <w:lang w:val="uk-UA"/>
        </w:rPr>
        <w:t>у 2018 році в бюджеті міста було передбачено 62</w:t>
      </w:r>
      <w:r w:rsidR="00546B93" w:rsidRPr="00720DC2">
        <w:rPr>
          <w:lang w:val="uk-UA"/>
        </w:rPr>
        <w:t>,</w:t>
      </w:r>
      <w:r w:rsidRPr="00720DC2">
        <w:rPr>
          <w:lang w:val="uk-UA"/>
        </w:rPr>
        <w:t>7</w:t>
      </w:r>
      <w:r w:rsidR="00546B93" w:rsidRPr="00720DC2">
        <w:rPr>
          <w:lang w:val="uk-UA"/>
        </w:rPr>
        <w:t xml:space="preserve"> млн</w:t>
      </w:r>
      <w:r w:rsidR="003F1F87">
        <w:rPr>
          <w:lang w:val="uk-UA"/>
        </w:rPr>
        <w:t xml:space="preserve"> грн</w:t>
      </w:r>
      <w:r w:rsidRPr="00720DC2">
        <w:rPr>
          <w:lang w:val="uk-UA"/>
        </w:rPr>
        <w:t>, що на 26</w:t>
      </w:r>
      <w:r w:rsidR="00546B93" w:rsidRPr="00720DC2">
        <w:rPr>
          <w:lang w:val="uk-UA"/>
        </w:rPr>
        <w:t>,</w:t>
      </w:r>
      <w:r w:rsidRPr="00720DC2">
        <w:rPr>
          <w:lang w:val="uk-UA"/>
        </w:rPr>
        <w:t>2</w:t>
      </w:r>
      <w:r w:rsidR="00546B93" w:rsidRPr="00720DC2">
        <w:rPr>
          <w:lang w:val="uk-UA"/>
        </w:rPr>
        <w:t xml:space="preserve"> млн</w:t>
      </w:r>
      <w:r w:rsidR="00580C52" w:rsidRPr="00720DC2">
        <w:rPr>
          <w:lang w:val="uk-UA"/>
        </w:rPr>
        <w:t xml:space="preserve"> грн</w:t>
      </w:r>
      <w:r w:rsidRPr="00720DC2">
        <w:rPr>
          <w:lang w:val="uk-UA"/>
        </w:rPr>
        <w:t xml:space="preserve"> більше</w:t>
      </w:r>
      <w:r w:rsidR="00580C52" w:rsidRPr="00720DC2">
        <w:rPr>
          <w:lang w:val="uk-UA"/>
        </w:rPr>
        <w:t>,</w:t>
      </w:r>
      <w:r w:rsidRPr="00720DC2">
        <w:rPr>
          <w:lang w:val="uk-UA"/>
        </w:rPr>
        <w:t xml:space="preserve"> ніж </w:t>
      </w:r>
      <w:r w:rsidR="00580C52" w:rsidRPr="00720DC2">
        <w:rPr>
          <w:lang w:val="uk-UA"/>
        </w:rPr>
        <w:t>у</w:t>
      </w:r>
      <w:r w:rsidRPr="00720DC2">
        <w:rPr>
          <w:lang w:val="uk-UA"/>
        </w:rPr>
        <w:t xml:space="preserve"> попередн</w:t>
      </w:r>
      <w:r w:rsidR="00580C52" w:rsidRPr="00720DC2">
        <w:rPr>
          <w:lang w:val="uk-UA"/>
        </w:rPr>
        <w:t xml:space="preserve">ьому </w:t>
      </w:r>
      <w:r w:rsidRPr="00720DC2">
        <w:rPr>
          <w:lang w:val="uk-UA"/>
        </w:rPr>
        <w:t>р</w:t>
      </w:r>
      <w:r w:rsidR="00580C52" w:rsidRPr="00720DC2">
        <w:rPr>
          <w:lang w:val="uk-UA"/>
        </w:rPr>
        <w:t>оці</w:t>
      </w:r>
      <w:r w:rsidRPr="00720DC2">
        <w:rPr>
          <w:lang w:val="uk-UA"/>
        </w:rPr>
        <w:t xml:space="preserve">. </w:t>
      </w:r>
      <w:r w:rsidR="008F6E62" w:rsidRPr="00720DC2">
        <w:rPr>
          <w:lang w:val="uk-UA"/>
        </w:rPr>
        <w:t>З</w:t>
      </w:r>
      <w:r w:rsidRPr="00720DC2">
        <w:rPr>
          <w:lang w:val="uk-UA"/>
        </w:rPr>
        <w:t xml:space="preserve">авершено капітальний </w:t>
      </w:r>
      <w:r w:rsidRPr="00720DC2">
        <w:rPr>
          <w:lang w:val="uk-UA"/>
        </w:rPr>
        <w:lastRenderedPageBreak/>
        <w:t>ремонт 16-ти міжбудинкових проїздів та прибудинкових території, ще 19-ть перебуває в роботі.</w:t>
      </w:r>
    </w:p>
    <w:p w:rsidR="001B0B8C" w:rsidRPr="00720DC2" w:rsidRDefault="001B0B8C" w:rsidP="001B0B8C">
      <w:pPr>
        <w:ind w:firstLine="700"/>
        <w:jc w:val="both"/>
        <w:rPr>
          <w:lang w:val="uk-UA"/>
        </w:rPr>
      </w:pPr>
      <w:r w:rsidRPr="00720DC2">
        <w:rPr>
          <w:lang w:val="uk-UA"/>
        </w:rPr>
        <w:t>Значна увага в 2018 році була приділена капітальному ремонту скверів міста</w:t>
      </w:r>
      <w:r w:rsidR="00404051" w:rsidRPr="00720DC2">
        <w:rPr>
          <w:lang w:val="uk-UA"/>
        </w:rPr>
        <w:t xml:space="preserve">, на що </w:t>
      </w:r>
      <w:r w:rsidRPr="00720DC2">
        <w:rPr>
          <w:lang w:val="uk-UA"/>
        </w:rPr>
        <w:t>з міського бюджету виділено 4</w:t>
      </w:r>
      <w:r w:rsidR="008F6E62" w:rsidRPr="00720DC2">
        <w:rPr>
          <w:lang w:val="uk-UA"/>
        </w:rPr>
        <w:t>,</w:t>
      </w:r>
      <w:r w:rsidRPr="00720DC2">
        <w:rPr>
          <w:lang w:val="uk-UA"/>
        </w:rPr>
        <w:t>5</w:t>
      </w:r>
      <w:r w:rsidR="008F6E62" w:rsidRPr="00720DC2">
        <w:rPr>
          <w:lang w:val="uk-UA"/>
        </w:rPr>
        <w:t xml:space="preserve"> млн</w:t>
      </w:r>
      <w:r w:rsidRPr="00720DC2">
        <w:rPr>
          <w:lang w:val="uk-UA"/>
        </w:rPr>
        <w:t xml:space="preserve"> грн. </w:t>
      </w:r>
      <w:r w:rsidR="000F788C">
        <w:rPr>
          <w:lang w:val="uk-UA"/>
        </w:rPr>
        <w:t>Проведено</w:t>
      </w:r>
      <w:r w:rsidRPr="00720DC2">
        <w:rPr>
          <w:lang w:val="uk-UA"/>
        </w:rPr>
        <w:t xml:space="preserve"> капремонт в сквері на вул. Грюнвальдській, влаштування міні-скверу на перехресті вулиць Петрушевича-Франка та міні-скверу на вул. Миколайчука, 16.</w:t>
      </w:r>
    </w:p>
    <w:p w:rsidR="000F788C" w:rsidRDefault="001B0B8C" w:rsidP="001B0B8C">
      <w:pPr>
        <w:ind w:firstLine="709"/>
        <w:jc w:val="both"/>
        <w:rPr>
          <w:lang w:val="uk-UA"/>
        </w:rPr>
      </w:pPr>
      <w:r w:rsidRPr="00720DC2">
        <w:rPr>
          <w:lang w:val="uk-UA"/>
        </w:rPr>
        <w:t xml:space="preserve">Окрім вищеназваних об’єктів, виконувалися роботи і на багатьох інших об’єктах міста. Серед найважливіших варто </w:t>
      </w:r>
      <w:r w:rsidR="00580C52" w:rsidRPr="00720DC2">
        <w:rPr>
          <w:lang w:val="uk-UA"/>
        </w:rPr>
        <w:t>відзначити</w:t>
      </w:r>
      <w:r w:rsidRPr="00720DC2">
        <w:rPr>
          <w:lang w:val="uk-UA"/>
        </w:rPr>
        <w:t xml:space="preserve"> реконструкці</w:t>
      </w:r>
      <w:r w:rsidR="00404051" w:rsidRPr="00720DC2">
        <w:rPr>
          <w:lang w:val="uk-UA"/>
        </w:rPr>
        <w:t>ю</w:t>
      </w:r>
      <w:r w:rsidRPr="00720DC2">
        <w:rPr>
          <w:lang w:val="uk-UA"/>
        </w:rPr>
        <w:t xml:space="preserve"> </w:t>
      </w:r>
      <w:r w:rsidR="00D4778A" w:rsidRPr="00720DC2">
        <w:rPr>
          <w:lang w:val="uk-UA"/>
        </w:rPr>
        <w:t>"</w:t>
      </w:r>
      <w:r w:rsidR="00404051" w:rsidRPr="00720DC2">
        <w:rPr>
          <w:lang w:val="uk-UA"/>
        </w:rPr>
        <w:t>С</w:t>
      </w:r>
      <w:r w:rsidRPr="00720DC2">
        <w:rPr>
          <w:lang w:val="uk-UA"/>
        </w:rPr>
        <w:t>танції для моржів</w:t>
      </w:r>
      <w:r w:rsidR="00D4778A" w:rsidRPr="00720DC2">
        <w:rPr>
          <w:lang w:val="uk-UA"/>
        </w:rPr>
        <w:t>"</w:t>
      </w:r>
      <w:r w:rsidR="00404051" w:rsidRPr="00720DC2">
        <w:rPr>
          <w:lang w:val="uk-UA"/>
        </w:rPr>
        <w:t xml:space="preserve"> </w:t>
      </w:r>
      <w:r w:rsidRPr="00720DC2">
        <w:rPr>
          <w:lang w:val="uk-UA"/>
        </w:rPr>
        <w:t>та капітальний ремонт станції для човнів</w:t>
      </w:r>
      <w:r w:rsidR="00404051" w:rsidRPr="00720DC2">
        <w:rPr>
          <w:lang w:val="uk-UA"/>
        </w:rPr>
        <w:t xml:space="preserve"> на міському озері</w:t>
      </w:r>
      <w:r w:rsidRPr="00720DC2">
        <w:rPr>
          <w:lang w:val="uk-UA"/>
        </w:rPr>
        <w:t xml:space="preserve">. </w:t>
      </w:r>
    </w:p>
    <w:p w:rsidR="001B0B8C" w:rsidRPr="00720DC2" w:rsidRDefault="001B0B8C" w:rsidP="001B0B8C">
      <w:pPr>
        <w:ind w:firstLine="709"/>
        <w:jc w:val="both"/>
        <w:rPr>
          <w:color w:val="000000"/>
          <w:lang w:val="uk-UA"/>
        </w:rPr>
      </w:pPr>
      <w:r w:rsidRPr="00720DC2">
        <w:rPr>
          <w:lang w:val="uk-UA"/>
        </w:rPr>
        <w:t xml:space="preserve">Важливим напрямком діяльності у 2018 році стало виконання </w:t>
      </w:r>
      <w:r w:rsidR="00D4778A" w:rsidRPr="00720DC2">
        <w:rPr>
          <w:lang w:val="uk-UA"/>
        </w:rPr>
        <w:t>"</w:t>
      </w:r>
      <w:r w:rsidRPr="00720DC2">
        <w:rPr>
          <w:lang w:val="uk-UA"/>
        </w:rPr>
        <w:t xml:space="preserve">Програми </w:t>
      </w:r>
      <w:r w:rsidRPr="00720DC2">
        <w:rPr>
          <w:color w:val="000000"/>
          <w:lang w:val="uk-UA" w:eastAsia="uk-UA"/>
        </w:rPr>
        <w:t>розвитку мережі громадських вбиралень в м. Івано-Франківську</w:t>
      </w:r>
      <w:r w:rsidR="00D4778A" w:rsidRPr="00720DC2">
        <w:rPr>
          <w:color w:val="000000"/>
          <w:lang w:val="uk-UA" w:eastAsia="uk-UA"/>
        </w:rPr>
        <w:t>"</w:t>
      </w:r>
      <w:r w:rsidRPr="00720DC2">
        <w:rPr>
          <w:color w:val="000000"/>
          <w:lang w:val="uk-UA" w:eastAsia="uk-UA"/>
        </w:rPr>
        <w:t xml:space="preserve">, яка </w:t>
      </w:r>
      <w:r w:rsidRPr="00720DC2">
        <w:rPr>
          <w:color w:val="000000"/>
          <w:lang w:val="uk-UA"/>
        </w:rPr>
        <w:t>спрямована</w:t>
      </w:r>
      <w:r w:rsidRPr="00720DC2">
        <w:rPr>
          <w:shd w:val="clear" w:color="auto" w:fill="FFFFFF"/>
          <w:lang w:val="uk-UA" w:eastAsia="uk-UA"/>
        </w:rPr>
        <w:t xml:space="preserve"> на вирішення проблеми забезпечення мешканців та гостей міста, в тому числі маломобільних груп населення, громадськими туалетами.</w:t>
      </w:r>
      <w:r w:rsidRPr="00720DC2">
        <w:rPr>
          <w:color w:val="000000"/>
          <w:lang w:val="uk-UA"/>
        </w:rPr>
        <w:t xml:space="preserve"> </w:t>
      </w:r>
      <w:r w:rsidR="00AF56DF">
        <w:rPr>
          <w:color w:val="000000"/>
          <w:lang w:val="uk-UA"/>
        </w:rPr>
        <w:t>У</w:t>
      </w:r>
      <w:r w:rsidRPr="00720DC2">
        <w:rPr>
          <w:color w:val="000000"/>
          <w:lang w:val="uk-UA"/>
        </w:rPr>
        <w:t xml:space="preserve"> 2018 році завершено роботи з влашт</w:t>
      </w:r>
      <w:r w:rsidRPr="00720DC2">
        <w:rPr>
          <w:lang w:val="uk-UA"/>
        </w:rPr>
        <w:t>у</w:t>
      </w:r>
      <w:r w:rsidRPr="00720DC2">
        <w:rPr>
          <w:color w:val="000000"/>
          <w:lang w:val="uk-UA"/>
        </w:rPr>
        <w:t>ва</w:t>
      </w:r>
      <w:r w:rsidRPr="00720DC2">
        <w:rPr>
          <w:lang w:val="uk-UA"/>
        </w:rPr>
        <w:t>нн</w:t>
      </w:r>
      <w:r w:rsidRPr="00720DC2">
        <w:rPr>
          <w:color w:val="000000"/>
          <w:lang w:val="uk-UA"/>
        </w:rPr>
        <w:t>я модульної громадської вбиральні на вулиці Грушевського (поруч стоматологічного корпусу Медичного університету), вартість якої становить 830,7</w:t>
      </w:r>
      <w:r w:rsidR="00546B93" w:rsidRPr="00720DC2">
        <w:rPr>
          <w:color w:val="000000"/>
          <w:lang w:val="uk-UA"/>
        </w:rPr>
        <w:t xml:space="preserve"> </w:t>
      </w:r>
      <w:r w:rsidR="00EC5456" w:rsidRPr="00720DC2">
        <w:rPr>
          <w:color w:val="000000"/>
          <w:lang w:val="uk-UA"/>
        </w:rPr>
        <w:t>тис.грн.</w:t>
      </w:r>
      <w:r w:rsidRPr="00720DC2">
        <w:rPr>
          <w:color w:val="000000"/>
          <w:lang w:val="uk-UA"/>
        </w:rPr>
        <w:t xml:space="preserve"> Вбиральня пристосована для людей з особливими потребами. Також вона містить довідкову інформацію з використанням шрифта Брайля. Обидві кабіни обладнані кнопками екстреного виклику</w:t>
      </w:r>
      <w:r w:rsidR="00DE7880" w:rsidRPr="00720DC2">
        <w:rPr>
          <w:color w:val="000000"/>
          <w:lang w:val="uk-UA"/>
        </w:rPr>
        <w:t xml:space="preserve"> та </w:t>
      </w:r>
      <w:r w:rsidRPr="00720DC2">
        <w:rPr>
          <w:color w:val="000000"/>
          <w:lang w:val="uk-UA"/>
        </w:rPr>
        <w:t>пеленальни</w:t>
      </w:r>
      <w:r w:rsidR="00DE7880" w:rsidRPr="00720DC2">
        <w:rPr>
          <w:color w:val="000000"/>
          <w:lang w:val="uk-UA"/>
        </w:rPr>
        <w:t>ми</w:t>
      </w:r>
      <w:r w:rsidRPr="00720DC2">
        <w:rPr>
          <w:color w:val="000000"/>
          <w:lang w:val="uk-UA"/>
        </w:rPr>
        <w:t xml:space="preserve"> столик</w:t>
      </w:r>
      <w:r w:rsidR="00DE7880" w:rsidRPr="00720DC2">
        <w:rPr>
          <w:color w:val="000000"/>
          <w:lang w:val="uk-UA"/>
        </w:rPr>
        <w:t>ами</w:t>
      </w:r>
      <w:r w:rsidRPr="00720DC2">
        <w:rPr>
          <w:color w:val="000000"/>
          <w:lang w:val="uk-UA"/>
        </w:rPr>
        <w:t xml:space="preserve"> для немовлят. Приміщення туалету має батареї обігріву.</w:t>
      </w:r>
    </w:p>
    <w:p w:rsidR="001B0B8C" w:rsidRPr="00720DC2" w:rsidRDefault="00AF56DF" w:rsidP="001B0B8C">
      <w:pPr>
        <w:ind w:firstLine="709"/>
        <w:jc w:val="both"/>
        <w:rPr>
          <w:lang w:val="uk-UA"/>
        </w:rPr>
      </w:pPr>
      <w:r>
        <w:rPr>
          <w:lang w:val="uk-UA"/>
        </w:rPr>
        <w:t>У2018 році здійснювалися робо</w:t>
      </w:r>
      <w:r w:rsidR="001B0B8C" w:rsidRPr="00720DC2">
        <w:rPr>
          <w:lang w:val="uk-UA"/>
        </w:rPr>
        <w:t>т</w:t>
      </w:r>
      <w:r>
        <w:rPr>
          <w:lang w:val="uk-UA"/>
        </w:rPr>
        <w:t>и</w:t>
      </w:r>
      <w:r w:rsidR="001B0B8C" w:rsidRPr="00720DC2">
        <w:rPr>
          <w:lang w:val="uk-UA"/>
        </w:rPr>
        <w:t xml:space="preserve"> з кап</w:t>
      </w:r>
      <w:r>
        <w:rPr>
          <w:lang w:val="uk-UA"/>
        </w:rPr>
        <w:t xml:space="preserve">ітального </w:t>
      </w:r>
      <w:r w:rsidR="001B0B8C" w:rsidRPr="00720DC2">
        <w:rPr>
          <w:lang w:val="uk-UA"/>
        </w:rPr>
        <w:t xml:space="preserve">ремонту контейнерних майданчиків та облаштування під’їзних шляхів до </w:t>
      </w:r>
      <w:r>
        <w:rPr>
          <w:lang w:val="uk-UA"/>
        </w:rPr>
        <w:t>них</w:t>
      </w:r>
      <w:r w:rsidR="001B0B8C" w:rsidRPr="00720DC2">
        <w:rPr>
          <w:lang w:val="uk-UA"/>
        </w:rPr>
        <w:t xml:space="preserve">. Зокрема, уже завершено роботи на контейнерному майданчику за адресою Вінницька 9,  який був одним з найпроблемніших в місті. Також </w:t>
      </w:r>
      <w:r w:rsidR="00DB1DAB">
        <w:rPr>
          <w:lang w:val="uk-UA"/>
        </w:rPr>
        <w:t>тривають роботи</w:t>
      </w:r>
      <w:r w:rsidR="001B0B8C" w:rsidRPr="00720DC2">
        <w:rPr>
          <w:lang w:val="uk-UA"/>
        </w:rPr>
        <w:t xml:space="preserve"> </w:t>
      </w:r>
      <w:r w:rsidR="00DB1DAB">
        <w:rPr>
          <w:lang w:val="uk-UA"/>
        </w:rPr>
        <w:t>зі</w:t>
      </w:r>
      <w:r w:rsidR="001B0B8C" w:rsidRPr="00720DC2">
        <w:rPr>
          <w:lang w:val="uk-UA"/>
        </w:rPr>
        <w:t xml:space="preserve"> встановлення першого в місті підземного контейнерного майданчика на вул. Грушевського.</w:t>
      </w:r>
      <w:r w:rsidR="00DB1DAB">
        <w:rPr>
          <w:lang w:val="uk-UA"/>
        </w:rPr>
        <w:t xml:space="preserve"> </w:t>
      </w:r>
      <w:r w:rsidR="001B0B8C" w:rsidRPr="00720DC2">
        <w:rPr>
          <w:lang w:val="uk-UA"/>
        </w:rPr>
        <w:t xml:space="preserve">Завершено роботи з капітального ремонту під’їзної дороги до контейнерного майданчика </w:t>
      </w:r>
      <w:r w:rsidR="00DB1DAB">
        <w:rPr>
          <w:lang w:val="uk-UA"/>
        </w:rPr>
        <w:t>на вул.</w:t>
      </w:r>
      <w:r w:rsidR="001B0B8C" w:rsidRPr="00720DC2">
        <w:rPr>
          <w:lang w:val="uk-UA"/>
        </w:rPr>
        <w:t xml:space="preserve"> Бандери, 12. Ще 4 аналогічних об’єкт</w:t>
      </w:r>
      <w:r w:rsidR="00404051" w:rsidRPr="00720DC2">
        <w:rPr>
          <w:lang w:val="uk-UA"/>
        </w:rPr>
        <w:t>и</w:t>
      </w:r>
      <w:r w:rsidR="001B0B8C" w:rsidRPr="00720DC2">
        <w:rPr>
          <w:lang w:val="uk-UA"/>
        </w:rPr>
        <w:t xml:space="preserve"> перебувають в роботі. </w:t>
      </w:r>
    </w:p>
    <w:p w:rsidR="001B0B8C" w:rsidRPr="00720DC2" w:rsidRDefault="001B0B8C" w:rsidP="001B0B8C">
      <w:pPr>
        <w:ind w:firstLine="567"/>
        <w:jc w:val="both"/>
        <w:rPr>
          <w:lang w:val="uk-UA"/>
        </w:rPr>
      </w:pPr>
      <w:r w:rsidRPr="00720DC2">
        <w:rPr>
          <w:lang w:val="uk-UA"/>
        </w:rPr>
        <w:t>Важливим елементом благоустрою стало озеленення міста.  На послуги зі зрізки аварійних дерев, формування крон дерев та садіння нових дерев і кущів було виділено 9</w:t>
      </w:r>
      <w:r w:rsidR="00546B93" w:rsidRPr="00720DC2">
        <w:rPr>
          <w:lang w:val="uk-UA"/>
        </w:rPr>
        <w:t>,7 млн</w:t>
      </w:r>
      <w:r w:rsidRPr="00720DC2">
        <w:rPr>
          <w:lang w:val="uk-UA"/>
        </w:rPr>
        <w:t xml:space="preserve"> грн, що на 4</w:t>
      </w:r>
      <w:r w:rsidR="00546B93" w:rsidRPr="00720DC2">
        <w:rPr>
          <w:lang w:val="uk-UA"/>
        </w:rPr>
        <w:t>,8</w:t>
      </w:r>
      <w:r w:rsidRPr="00720DC2">
        <w:rPr>
          <w:lang w:val="uk-UA"/>
        </w:rPr>
        <w:t xml:space="preserve"> </w:t>
      </w:r>
      <w:r w:rsidR="00546B93" w:rsidRPr="00720DC2">
        <w:rPr>
          <w:lang w:val="uk-UA"/>
        </w:rPr>
        <w:t>млн</w:t>
      </w:r>
      <w:r w:rsidRPr="00720DC2">
        <w:rPr>
          <w:lang w:val="uk-UA"/>
        </w:rPr>
        <w:t xml:space="preserve"> грн більше</w:t>
      </w:r>
      <w:r w:rsidR="00EC5456" w:rsidRPr="00720DC2">
        <w:rPr>
          <w:lang w:val="uk-UA"/>
        </w:rPr>
        <w:t>,</w:t>
      </w:r>
      <w:r w:rsidRPr="00720DC2">
        <w:rPr>
          <w:lang w:val="uk-UA"/>
        </w:rPr>
        <w:t xml:space="preserve"> ніж у 2017 році. Впродовж 2018 року зрізано 670 аварійних дерев, проведено обрізку та формування крон дерев на вулицях міста, вздовж ліній електропередач та поблизу світлофорних об’єктів. Зокрема, проведено обрізку нижніх гілок на 511 деревах, формування крон 350 дерев та обрізку </w:t>
      </w:r>
      <w:r w:rsidR="00B94B1A" w:rsidRPr="00720DC2">
        <w:rPr>
          <w:lang w:val="uk-UA"/>
        </w:rPr>
        <w:t xml:space="preserve">305 </w:t>
      </w:r>
      <w:r w:rsidRPr="00720DC2">
        <w:rPr>
          <w:lang w:val="uk-UA"/>
        </w:rPr>
        <w:t xml:space="preserve">дерев на виконання звернень мешканців.  Посаджено 615 дерев. </w:t>
      </w:r>
    </w:p>
    <w:p w:rsidR="001B0B8C" w:rsidRPr="00720DC2" w:rsidRDefault="001B0B8C" w:rsidP="001B0B8C">
      <w:pPr>
        <w:ind w:firstLine="700"/>
        <w:jc w:val="both"/>
        <w:rPr>
          <w:lang w:val="uk-UA"/>
        </w:rPr>
      </w:pPr>
      <w:r w:rsidRPr="00720DC2">
        <w:rPr>
          <w:lang w:val="uk-UA"/>
        </w:rPr>
        <w:t>Особливим став підхід до дерев в центральній частині міста на відреконструйованих вулицях. На цих локаціях вперше в місті були висаджені дерева висотою 4-5 метрів. Також було застосовано нове огородження та проведено засипання лунок корою.</w:t>
      </w:r>
    </w:p>
    <w:p w:rsidR="001B0B8C" w:rsidRPr="00720DC2" w:rsidRDefault="001B0B8C" w:rsidP="001B0B8C">
      <w:pPr>
        <w:ind w:firstLine="709"/>
        <w:jc w:val="both"/>
        <w:rPr>
          <w:lang w:val="uk-UA"/>
        </w:rPr>
      </w:pPr>
      <w:r w:rsidRPr="00720DC2">
        <w:rPr>
          <w:lang w:val="uk-UA"/>
        </w:rPr>
        <w:t>На влаштування газонів у 2018 році в міс</w:t>
      </w:r>
      <w:r w:rsidR="00B94B1A" w:rsidRPr="00720DC2">
        <w:rPr>
          <w:lang w:val="uk-UA"/>
        </w:rPr>
        <w:t>ькому бюджеті передбачено 1071</w:t>
      </w:r>
      <w:r w:rsidRPr="00720DC2">
        <w:rPr>
          <w:lang w:val="uk-UA"/>
        </w:rPr>
        <w:t xml:space="preserve"> тис.</w:t>
      </w:r>
      <w:r w:rsidR="00EC5456" w:rsidRPr="00720DC2">
        <w:rPr>
          <w:lang w:val="uk-UA"/>
        </w:rPr>
        <w:t>грн.</w:t>
      </w:r>
      <w:r w:rsidRPr="00720DC2">
        <w:rPr>
          <w:lang w:val="uk-UA"/>
        </w:rPr>
        <w:t xml:space="preserve"> Завершено роботи на 6-ти об’єктах: у сквері на вул. Княгинин, Галицькій, на вул.Тринітарській та вул.Незалежності. Ще 2 об</w:t>
      </w:r>
      <w:r w:rsidRPr="00720DC2">
        <w:rPr>
          <w:rFonts w:cs="Times New Roman"/>
          <w:lang w:val="uk-UA"/>
        </w:rPr>
        <w:t>'</w:t>
      </w:r>
      <w:r w:rsidRPr="00720DC2">
        <w:rPr>
          <w:lang w:val="uk-UA"/>
        </w:rPr>
        <w:t xml:space="preserve">єкти  перебувають в роботі. </w:t>
      </w:r>
    </w:p>
    <w:p w:rsidR="00BD377A" w:rsidRPr="00720DC2" w:rsidRDefault="00B94B1A" w:rsidP="00BD377A">
      <w:pPr>
        <w:tabs>
          <w:tab w:val="left" w:pos="400"/>
        </w:tabs>
        <w:ind w:firstLine="709"/>
        <w:jc w:val="both"/>
        <w:rPr>
          <w:lang w:val="uk-UA"/>
        </w:rPr>
      </w:pPr>
      <w:r w:rsidRPr="00720DC2">
        <w:rPr>
          <w:lang w:val="uk-UA"/>
        </w:rPr>
        <w:t>Продовжувала</w:t>
      </w:r>
      <w:r w:rsidR="00BD377A" w:rsidRPr="00720DC2">
        <w:rPr>
          <w:lang w:val="uk-UA"/>
        </w:rPr>
        <w:t xml:space="preserve">ся започаткована попереднього року практика співфінансування робіт </w:t>
      </w:r>
      <w:r w:rsidRPr="00720DC2">
        <w:rPr>
          <w:lang w:val="uk-UA"/>
        </w:rPr>
        <w:t>у</w:t>
      </w:r>
      <w:r w:rsidR="00BD377A" w:rsidRPr="00720DC2">
        <w:rPr>
          <w:lang w:val="uk-UA"/>
        </w:rPr>
        <w:t xml:space="preserve"> будинках ОСББ</w:t>
      </w:r>
      <w:r w:rsidRPr="00720DC2">
        <w:rPr>
          <w:lang w:val="uk-UA"/>
        </w:rPr>
        <w:t>, на які</w:t>
      </w:r>
      <w:r w:rsidR="00BD377A" w:rsidRPr="00720DC2">
        <w:rPr>
          <w:lang w:val="uk-UA"/>
        </w:rPr>
        <w:t xml:space="preserve"> в міському б</w:t>
      </w:r>
      <w:r w:rsidRPr="00720DC2">
        <w:rPr>
          <w:lang w:val="uk-UA"/>
        </w:rPr>
        <w:t xml:space="preserve">юджеті було </w:t>
      </w:r>
      <w:r w:rsidRPr="00720DC2">
        <w:rPr>
          <w:lang w:val="uk-UA"/>
        </w:rPr>
        <w:lastRenderedPageBreak/>
        <w:t xml:space="preserve">передбачено 1,0 млн </w:t>
      </w:r>
      <w:r w:rsidR="00BD377A" w:rsidRPr="00720DC2">
        <w:rPr>
          <w:lang w:val="uk-UA"/>
        </w:rPr>
        <w:t xml:space="preserve">грн. Завершено роботи по двох об’єктах, ще по 3-х роботи тривають. </w:t>
      </w:r>
    </w:p>
    <w:p w:rsidR="00BD377A" w:rsidRPr="00720DC2" w:rsidRDefault="00BD377A" w:rsidP="00BD377A">
      <w:pPr>
        <w:tabs>
          <w:tab w:val="left" w:pos="709"/>
        </w:tabs>
        <w:ind w:firstLine="709"/>
        <w:contextualSpacing/>
        <w:jc w:val="both"/>
        <w:rPr>
          <w:color w:val="000000"/>
          <w:lang w:val="uk-UA"/>
        </w:rPr>
      </w:pPr>
      <w:r w:rsidRPr="00720DC2">
        <w:rPr>
          <w:color w:val="000000"/>
          <w:lang w:val="uk-UA"/>
        </w:rPr>
        <w:t xml:space="preserve">Одним із напрямків підтримки ОСББ, започаткованим </w:t>
      </w:r>
      <w:r w:rsidR="00023B47">
        <w:rPr>
          <w:color w:val="000000"/>
          <w:lang w:val="uk-UA"/>
        </w:rPr>
        <w:t>у</w:t>
      </w:r>
      <w:r w:rsidRPr="00720DC2">
        <w:rPr>
          <w:color w:val="000000"/>
          <w:lang w:val="uk-UA"/>
        </w:rPr>
        <w:t xml:space="preserve"> 2018 році, стало відшкодування за кредитами, залученими ОСББ у кредитно-фінансових установах на впровадження енергозберігаючих заходів. Зокрема, в міському бюджеті на </w:t>
      </w:r>
      <w:r w:rsidR="0020502A" w:rsidRPr="00720DC2">
        <w:rPr>
          <w:color w:val="000000"/>
          <w:lang w:val="uk-UA"/>
        </w:rPr>
        <w:t>2018 рік було передбачено 100,0</w:t>
      </w:r>
      <w:r w:rsidRPr="00720DC2">
        <w:rPr>
          <w:color w:val="000000"/>
          <w:lang w:val="uk-UA"/>
        </w:rPr>
        <w:t xml:space="preserve"> тис. грн., з яких на </w:t>
      </w:r>
      <w:r w:rsidR="00C12B9D" w:rsidRPr="00720DC2">
        <w:rPr>
          <w:color w:val="000000"/>
          <w:lang w:val="uk-UA"/>
        </w:rPr>
        <w:t>кінець</w:t>
      </w:r>
      <w:r w:rsidR="0020502A" w:rsidRPr="00720DC2">
        <w:rPr>
          <w:color w:val="000000"/>
          <w:lang w:val="uk-UA"/>
        </w:rPr>
        <w:t xml:space="preserve"> року відшкодовано 63,9 тис.</w:t>
      </w:r>
      <w:r w:rsidRPr="00720DC2">
        <w:rPr>
          <w:color w:val="000000"/>
          <w:lang w:val="uk-UA"/>
        </w:rPr>
        <w:t xml:space="preserve">грн ОСББ </w:t>
      </w:r>
      <w:r w:rsidR="00D4778A" w:rsidRPr="00720DC2">
        <w:rPr>
          <w:color w:val="000000"/>
          <w:lang w:val="uk-UA"/>
        </w:rPr>
        <w:t>"</w:t>
      </w:r>
      <w:r w:rsidRPr="00720DC2">
        <w:rPr>
          <w:color w:val="000000"/>
          <w:lang w:val="uk-UA"/>
        </w:rPr>
        <w:t>Набережна, 32</w:t>
      </w:r>
      <w:r w:rsidR="00D4778A" w:rsidRPr="00720DC2">
        <w:rPr>
          <w:color w:val="000000"/>
          <w:lang w:val="uk-UA"/>
        </w:rPr>
        <w:t>"</w:t>
      </w:r>
      <w:r w:rsidRPr="00720DC2">
        <w:rPr>
          <w:color w:val="000000"/>
          <w:lang w:val="uk-UA"/>
        </w:rPr>
        <w:t xml:space="preserve"> на кредит із заміни вікон в місцях загального користування. </w:t>
      </w:r>
      <w:r w:rsidR="00C12B9D" w:rsidRPr="00720DC2">
        <w:rPr>
          <w:color w:val="000000"/>
          <w:lang w:val="uk-UA"/>
        </w:rPr>
        <w:t>П</w:t>
      </w:r>
      <w:r w:rsidRPr="00720DC2">
        <w:rPr>
          <w:color w:val="000000"/>
          <w:lang w:val="uk-UA"/>
        </w:rPr>
        <w:t xml:space="preserve">ланується відшкодування ОСББ </w:t>
      </w:r>
      <w:r w:rsidR="00D4778A" w:rsidRPr="00720DC2">
        <w:rPr>
          <w:color w:val="000000"/>
          <w:lang w:val="uk-UA"/>
        </w:rPr>
        <w:t>"</w:t>
      </w:r>
      <w:r w:rsidRPr="00720DC2">
        <w:rPr>
          <w:color w:val="000000"/>
          <w:lang w:val="uk-UA"/>
        </w:rPr>
        <w:t>Паркове, 2</w:t>
      </w:r>
      <w:r w:rsidR="00D4778A" w:rsidRPr="00720DC2">
        <w:rPr>
          <w:color w:val="000000"/>
          <w:lang w:val="uk-UA"/>
        </w:rPr>
        <w:t>"</w:t>
      </w:r>
      <w:r w:rsidRPr="00720DC2">
        <w:rPr>
          <w:color w:val="000000"/>
          <w:lang w:val="uk-UA"/>
        </w:rPr>
        <w:t xml:space="preserve"> за кредит для проведення робіт з термомодернізації внутрішньо</w:t>
      </w:r>
      <w:r w:rsidR="00023B47">
        <w:rPr>
          <w:color w:val="000000"/>
          <w:lang w:val="uk-UA"/>
        </w:rPr>
        <w:t>-</w:t>
      </w:r>
      <w:r w:rsidRPr="00720DC2">
        <w:rPr>
          <w:color w:val="000000"/>
          <w:lang w:val="uk-UA"/>
        </w:rPr>
        <w:t xml:space="preserve"> будинкових систем опал</w:t>
      </w:r>
      <w:r w:rsidR="0020502A" w:rsidRPr="00720DC2">
        <w:rPr>
          <w:color w:val="000000"/>
          <w:lang w:val="uk-UA"/>
        </w:rPr>
        <w:t>ення у розмірі 28,5 тис.</w:t>
      </w:r>
      <w:r w:rsidRPr="00720DC2">
        <w:rPr>
          <w:color w:val="000000"/>
          <w:lang w:val="uk-UA"/>
        </w:rPr>
        <w:t>грн.</w:t>
      </w:r>
    </w:p>
    <w:p w:rsidR="00BD377A" w:rsidRPr="00720DC2" w:rsidRDefault="00BD377A" w:rsidP="00BD377A">
      <w:pPr>
        <w:tabs>
          <w:tab w:val="left" w:pos="709"/>
        </w:tabs>
        <w:ind w:firstLine="709"/>
        <w:contextualSpacing/>
        <w:jc w:val="both"/>
        <w:rPr>
          <w:color w:val="000000"/>
          <w:lang w:val="uk-UA"/>
        </w:rPr>
      </w:pPr>
      <w:r w:rsidRPr="00720DC2">
        <w:rPr>
          <w:color w:val="000000"/>
          <w:lang w:val="uk-UA"/>
        </w:rPr>
        <w:t xml:space="preserve">Крім того, </w:t>
      </w:r>
      <w:r w:rsidR="00023B47">
        <w:rPr>
          <w:color w:val="000000"/>
          <w:lang w:val="uk-UA"/>
        </w:rPr>
        <w:t>в рамках реалізації</w:t>
      </w:r>
      <w:r w:rsidRPr="00720DC2">
        <w:rPr>
          <w:color w:val="000000"/>
          <w:lang w:val="uk-UA"/>
        </w:rPr>
        <w:t xml:space="preserve"> Програм</w:t>
      </w:r>
      <w:r w:rsidR="00023B47">
        <w:rPr>
          <w:color w:val="000000"/>
          <w:lang w:val="uk-UA"/>
        </w:rPr>
        <w:t>и</w:t>
      </w:r>
      <w:r w:rsidRPr="00720DC2">
        <w:rPr>
          <w:color w:val="000000"/>
          <w:lang w:val="uk-UA"/>
        </w:rPr>
        <w:t xml:space="preserve"> переможців міського конкурсу програм та проектів, </w:t>
      </w:r>
      <w:r w:rsidR="00023B47">
        <w:rPr>
          <w:color w:val="000000"/>
          <w:lang w:val="uk-UA"/>
        </w:rPr>
        <w:t xml:space="preserve">здійснювалися роботи по проектах-переможцях, які </w:t>
      </w:r>
      <w:r w:rsidRPr="00720DC2">
        <w:rPr>
          <w:color w:val="000000"/>
          <w:lang w:val="uk-UA"/>
        </w:rPr>
        <w:t xml:space="preserve"> стосувал</w:t>
      </w:r>
      <w:r w:rsidR="00023B47">
        <w:rPr>
          <w:color w:val="000000"/>
          <w:lang w:val="uk-UA"/>
        </w:rPr>
        <w:t>и</w:t>
      </w:r>
      <w:r w:rsidRPr="00720DC2">
        <w:rPr>
          <w:color w:val="000000"/>
          <w:lang w:val="uk-UA"/>
        </w:rPr>
        <w:t xml:space="preserve">ся поточних та капітальних </w:t>
      </w:r>
      <w:r w:rsidR="00023B47">
        <w:rPr>
          <w:color w:val="000000"/>
          <w:lang w:val="uk-UA"/>
        </w:rPr>
        <w:t>ремонтів</w:t>
      </w:r>
      <w:r w:rsidRPr="00720DC2">
        <w:rPr>
          <w:color w:val="000000"/>
          <w:lang w:val="uk-UA"/>
        </w:rPr>
        <w:t xml:space="preserve"> житлового фонду ОСББ. </w:t>
      </w:r>
      <w:r w:rsidR="00582093" w:rsidRPr="00720DC2">
        <w:rPr>
          <w:color w:val="000000"/>
          <w:lang w:val="uk-UA"/>
        </w:rPr>
        <w:t>У</w:t>
      </w:r>
      <w:r w:rsidRPr="00720DC2">
        <w:rPr>
          <w:color w:val="000000"/>
          <w:lang w:val="uk-UA"/>
        </w:rPr>
        <w:t xml:space="preserve"> 2018 році таких об’єктів </w:t>
      </w:r>
      <w:r w:rsidR="00EC5456" w:rsidRPr="00720DC2">
        <w:rPr>
          <w:color w:val="000000"/>
          <w:lang w:val="uk-UA"/>
        </w:rPr>
        <w:t>було 24 на загальну суму 1597</w:t>
      </w:r>
      <w:r w:rsidRPr="00720DC2">
        <w:rPr>
          <w:color w:val="000000"/>
          <w:lang w:val="uk-UA"/>
        </w:rPr>
        <w:t xml:space="preserve"> тис. грн. </w:t>
      </w:r>
    </w:p>
    <w:p w:rsidR="00BD377A" w:rsidRPr="00720DC2" w:rsidRDefault="00BD377A" w:rsidP="00BD377A">
      <w:pPr>
        <w:tabs>
          <w:tab w:val="left" w:pos="709"/>
        </w:tabs>
        <w:ind w:firstLine="709"/>
        <w:contextualSpacing/>
        <w:jc w:val="both"/>
        <w:rPr>
          <w:color w:val="000000"/>
          <w:lang w:val="uk-UA"/>
        </w:rPr>
      </w:pPr>
      <w:r w:rsidRPr="00720DC2">
        <w:rPr>
          <w:lang w:val="uk-UA"/>
        </w:rPr>
        <w:t>Також чимало об’єктів зроблено за рахунок коштів Програми пар</w:t>
      </w:r>
      <w:r w:rsidR="00023B47">
        <w:rPr>
          <w:lang w:val="uk-UA"/>
        </w:rPr>
        <w:t>ти</w:t>
      </w:r>
      <w:r w:rsidRPr="00720DC2">
        <w:rPr>
          <w:lang w:val="uk-UA"/>
        </w:rPr>
        <w:t>ципаторного бюджетування та коштів депутатського фонду.</w:t>
      </w:r>
      <w:r w:rsidRPr="00720DC2">
        <w:rPr>
          <w:color w:val="000000"/>
          <w:lang w:val="uk-UA"/>
        </w:rPr>
        <w:t xml:space="preserve"> Крім того, понад 20 об’єктів було зроблено повністю за рахунок коштів міського бюджету, на капремонт яких </w:t>
      </w:r>
      <w:r w:rsidR="00582093" w:rsidRPr="00720DC2">
        <w:rPr>
          <w:color w:val="000000"/>
          <w:lang w:val="uk-UA"/>
        </w:rPr>
        <w:t>у</w:t>
      </w:r>
      <w:r w:rsidRPr="00720DC2">
        <w:rPr>
          <w:color w:val="000000"/>
          <w:lang w:val="uk-UA"/>
        </w:rPr>
        <w:t xml:space="preserve"> 2018 році виділено 1</w:t>
      </w:r>
      <w:r w:rsidR="00546B93" w:rsidRPr="00720DC2">
        <w:rPr>
          <w:color w:val="000000"/>
          <w:lang w:val="uk-UA"/>
        </w:rPr>
        <w:t>,</w:t>
      </w:r>
      <w:r w:rsidRPr="00720DC2">
        <w:rPr>
          <w:color w:val="000000"/>
          <w:lang w:val="uk-UA"/>
        </w:rPr>
        <w:t>7</w:t>
      </w:r>
      <w:r w:rsidR="00546B93" w:rsidRPr="00720DC2">
        <w:rPr>
          <w:color w:val="000000"/>
          <w:lang w:val="uk-UA"/>
        </w:rPr>
        <w:t xml:space="preserve"> млн</w:t>
      </w:r>
      <w:r w:rsidRPr="00720DC2">
        <w:rPr>
          <w:color w:val="000000"/>
          <w:lang w:val="uk-UA"/>
        </w:rPr>
        <w:t xml:space="preserve"> грн.</w:t>
      </w:r>
    </w:p>
    <w:p w:rsidR="00183E22" w:rsidRPr="00720DC2" w:rsidRDefault="00183E22" w:rsidP="00183E22">
      <w:pPr>
        <w:ind w:firstLine="709"/>
        <w:jc w:val="both"/>
        <w:rPr>
          <w:color w:val="FF0000"/>
          <w:lang w:val="uk-UA"/>
        </w:rPr>
      </w:pPr>
      <w:r w:rsidRPr="00720DC2">
        <w:rPr>
          <w:lang w:val="uk-UA"/>
        </w:rPr>
        <w:t>Важливим та особливим напрямком у політиці благоустрою міста</w:t>
      </w:r>
      <w:r w:rsidRPr="00720DC2">
        <w:rPr>
          <w:color w:val="FF0000"/>
          <w:lang w:val="uk-UA"/>
        </w:rPr>
        <w:t xml:space="preserve"> </w:t>
      </w:r>
      <w:r w:rsidRPr="00720DC2">
        <w:rPr>
          <w:lang w:val="uk-UA"/>
        </w:rPr>
        <w:t>є реставрація памʼяток архітектури в центральній його частині, зокрема проведення освітлення памʼяток архітектури.</w:t>
      </w:r>
    </w:p>
    <w:p w:rsidR="00BD377A" w:rsidRPr="00720DC2" w:rsidRDefault="00183E22" w:rsidP="00BD377A">
      <w:pPr>
        <w:tabs>
          <w:tab w:val="left" w:pos="400"/>
        </w:tabs>
        <w:ind w:firstLine="709"/>
        <w:jc w:val="both"/>
        <w:rPr>
          <w:color w:val="000000"/>
          <w:lang w:val="uk-UA"/>
        </w:rPr>
      </w:pPr>
      <w:r w:rsidRPr="00720DC2">
        <w:rPr>
          <w:lang w:val="uk-UA"/>
        </w:rPr>
        <w:t>Завершено роботи з о</w:t>
      </w:r>
      <w:r w:rsidRPr="00720DC2">
        <w:rPr>
          <w:shd w:val="clear" w:color="auto" w:fill="FFFFFF"/>
          <w:lang w:val="uk-UA"/>
        </w:rPr>
        <w:t>світлення фасаду будинку №2 на вул. Галицькій (Івано-Франківський національний медичний університет</w:t>
      </w:r>
      <w:r w:rsidRPr="00720DC2">
        <w:rPr>
          <w:rFonts w:cs="Helvetica"/>
          <w:szCs w:val="20"/>
          <w:shd w:val="clear" w:color="auto" w:fill="FFFFFF"/>
          <w:lang w:val="uk-UA"/>
        </w:rPr>
        <w:t>)</w:t>
      </w:r>
      <w:r w:rsidRPr="00720DC2">
        <w:rPr>
          <w:rFonts w:cs="Times New Roman"/>
          <w:shd w:val="clear" w:color="auto" w:fill="FFFFFF"/>
          <w:lang w:val="uk-UA"/>
        </w:rPr>
        <w:t>,</w:t>
      </w:r>
      <w:r w:rsidRPr="00720DC2">
        <w:rPr>
          <w:rFonts w:cs="Helvetica"/>
          <w:szCs w:val="20"/>
          <w:shd w:val="clear" w:color="auto" w:fill="FFFFFF"/>
          <w:lang w:val="uk-UA"/>
        </w:rPr>
        <w:t xml:space="preserve"> </w:t>
      </w:r>
      <w:r w:rsidRPr="00720DC2">
        <w:rPr>
          <w:shd w:val="clear" w:color="auto" w:fill="FFFFFF"/>
          <w:lang w:val="uk-UA"/>
        </w:rPr>
        <w:t>й</w:t>
      </w:r>
      <w:r w:rsidR="00753836">
        <w:rPr>
          <w:shd w:val="clear" w:color="auto" w:fill="FFFFFF"/>
          <w:lang w:val="uk-UA"/>
        </w:rPr>
        <w:t xml:space="preserve">ого вартість становила 1,16 млн </w:t>
      </w:r>
      <w:r w:rsidRPr="00720DC2">
        <w:rPr>
          <w:shd w:val="clear" w:color="auto" w:fill="FFFFFF"/>
          <w:lang w:val="uk-UA"/>
        </w:rPr>
        <w:t>грн, освітлення фасаду Івано-Фран</w:t>
      </w:r>
      <w:r w:rsidR="00582093" w:rsidRPr="00720DC2">
        <w:rPr>
          <w:shd w:val="clear" w:color="auto" w:fill="FFFFFF"/>
          <w:lang w:val="uk-UA"/>
        </w:rPr>
        <w:t>ківської ратуші  (113,6 тис.грн</w:t>
      </w:r>
      <w:r w:rsidRPr="00720DC2">
        <w:rPr>
          <w:shd w:val="clear" w:color="auto" w:fill="FFFFFF"/>
          <w:lang w:val="uk-UA"/>
        </w:rPr>
        <w:t>), проведено реконструкцію освітлення на території біля Вірменського костелу Непорочного Зачаття Найсвятішої Діви Марії (231,3 тис.грн).</w:t>
      </w:r>
      <w:r w:rsidR="00BD377A" w:rsidRPr="00720DC2">
        <w:rPr>
          <w:shd w:val="clear" w:color="auto" w:fill="FFFFFF"/>
          <w:lang w:val="uk-UA"/>
        </w:rPr>
        <w:t xml:space="preserve"> </w:t>
      </w:r>
      <w:r w:rsidR="00BD377A" w:rsidRPr="00720DC2">
        <w:rPr>
          <w:color w:val="000000"/>
          <w:lang w:val="uk-UA"/>
        </w:rPr>
        <w:t xml:space="preserve">У даний час на експертизі перебуває проектно-кошторисна документація з підсвітки ще двох об’єктів: міської поліклініки </w:t>
      </w:r>
      <w:r w:rsidR="00753836">
        <w:rPr>
          <w:color w:val="000000"/>
          <w:lang w:val="uk-UA"/>
        </w:rPr>
        <w:t>на вул.</w:t>
      </w:r>
      <w:r w:rsidR="00BD377A" w:rsidRPr="00720DC2">
        <w:rPr>
          <w:color w:val="000000"/>
          <w:lang w:val="uk-UA"/>
        </w:rPr>
        <w:t xml:space="preserve"> Франка, 30 та будинку на вул. Грушевського, 1.</w:t>
      </w:r>
    </w:p>
    <w:p w:rsidR="004F50E1" w:rsidRPr="00720DC2" w:rsidRDefault="004F50E1" w:rsidP="004F50E1">
      <w:pPr>
        <w:ind w:firstLine="705"/>
        <w:jc w:val="both"/>
        <w:rPr>
          <w:lang w:val="uk-UA"/>
        </w:rPr>
      </w:pPr>
      <w:r w:rsidRPr="00720DC2">
        <w:rPr>
          <w:lang w:val="uk-UA"/>
        </w:rPr>
        <w:t>За 2018 рік КП "Івано-Франківськводоекотехпром" реалізовано 9,8</w:t>
      </w:r>
      <w:r w:rsidR="00FC6932" w:rsidRPr="00720DC2">
        <w:rPr>
          <w:lang w:val="uk-UA"/>
        </w:rPr>
        <w:t xml:space="preserve"> </w:t>
      </w:r>
      <w:r w:rsidRPr="00720DC2">
        <w:rPr>
          <w:lang w:val="uk-UA"/>
        </w:rPr>
        <w:t>млн м</w:t>
      </w:r>
      <w:r w:rsidRPr="00720DC2">
        <w:rPr>
          <w:vertAlign w:val="superscript"/>
          <w:lang w:val="uk-UA"/>
        </w:rPr>
        <w:t xml:space="preserve">3 </w:t>
      </w:r>
      <w:r w:rsidRPr="00720DC2">
        <w:rPr>
          <w:lang w:val="uk-UA"/>
        </w:rPr>
        <w:t>води, що на 237,2 тис.м</w:t>
      </w:r>
      <w:r w:rsidRPr="00720DC2">
        <w:rPr>
          <w:vertAlign w:val="superscript"/>
          <w:lang w:val="uk-UA"/>
        </w:rPr>
        <w:t>3</w:t>
      </w:r>
      <w:r w:rsidRPr="00720DC2">
        <w:rPr>
          <w:lang w:val="uk-UA"/>
        </w:rPr>
        <w:t xml:space="preserve"> більше</w:t>
      </w:r>
      <w:r w:rsidR="00582093" w:rsidRPr="00720DC2">
        <w:rPr>
          <w:lang w:val="uk-UA"/>
        </w:rPr>
        <w:t>,</w:t>
      </w:r>
      <w:r w:rsidRPr="00720DC2">
        <w:rPr>
          <w:lang w:val="uk-UA"/>
        </w:rPr>
        <w:t xml:space="preserve"> ніж у минулому році. Збільшились також обсяги водовідведення на 273,2 тис.м</w:t>
      </w:r>
      <w:r w:rsidRPr="00720DC2">
        <w:rPr>
          <w:vertAlign w:val="superscript"/>
          <w:lang w:val="uk-UA"/>
        </w:rPr>
        <w:t>3</w:t>
      </w:r>
      <w:r w:rsidRPr="00720DC2">
        <w:rPr>
          <w:lang w:val="uk-UA"/>
        </w:rPr>
        <w:t xml:space="preserve">, </w:t>
      </w:r>
      <w:r w:rsidR="00582093" w:rsidRPr="00720DC2">
        <w:rPr>
          <w:lang w:val="uk-UA"/>
        </w:rPr>
        <w:t>які</w:t>
      </w:r>
      <w:r w:rsidRPr="00720DC2">
        <w:rPr>
          <w:lang w:val="uk-UA"/>
        </w:rPr>
        <w:t xml:space="preserve"> в загальному за рік склали 8,5</w:t>
      </w:r>
      <w:r w:rsidR="00821900">
        <w:rPr>
          <w:lang w:val="uk-UA"/>
        </w:rPr>
        <w:t xml:space="preserve"> </w:t>
      </w:r>
      <w:r w:rsidRPr="00720DC2">
        <w:rPr>
          <w:lang w:val="uk-UA"/>
        </w:rPr>
        <w:t>млн</w:t>
      </w:r>
      <w:r w:rsidR="00FC6932" w:rsidRPr="00720DC2">
        <w:rPr>
          <w:lang w:val="uk-UA"/>
        </w:rPr>
        <w:t xml:space="preserve"> </w:t>
      </w:r>
      <w:r w:rsidRPr="00720DC2">
        <w:rPr>
          <w:lang w:val="uk-UA"/>
        </w:rPr>
        <w:t>м</w:t>
      </w:r>
      <w:r w:rsidRPr="00720DC2">
        <w:rPr>
          <w:vertAlign w:val="superscript"/>
          <w:lang w:val="uk-UA"/>
        </w:rPr>
        <w:t>3</w:t>
      </w:r>
      <w:r w:rsidRPr="00720DC2">
        <w:rPr>
          <w:lang w:val="uk-UA"/>
        </w:rPr>
        <w:t>.</w:t>
      </w:r>
    </w:p>
    <w:p w:rsidR="004F50E1" w:rsidRPr="00720DC2" w:rsidRDefault="004F50E1" w:rsidP="004F50E1">
      <w:pPr>
        <w:ind w:firstLine="705"/>
        <w:jc w:val="both"/>
        <w:rPr>
          <w:lang w:val="uk-UA"/>
        </w:rPr>
      </w:pPr>
      <w:r w:rsidRPr="00720DC2">
        <w:rPr>
          <w:lang w:val="uk-UA"/>
        </w:rPr>
        <w:t>Впродовж 2018 року встановлено загальнобудинкові водоміри у 83 багатоквартирних будинках. В загальному по місту Іван</w:t>
      </w:r>
      <w:r w:rsidR="00582093" w:rsidRPr="00720DC2">
        <w:rPr>
          <w:lang w:val="uk-UA"/>
        </w:rPr>
        <w:t>о</w:t>
      </w:r>
      <w:r w:rsidRPr="00720DC2">
        <w:rPr>
          <w:lang w:val="uk-UA"/>
        </w:rPr>
        <w:t>-Франківську будинковими лічильниками обладнано 2304 житлові будинки (97%), та  забезпечено  квартирними лічильниками 73023 абоненти, що становить 94%.</w:t>
      </w:r>
    </w:p>
    <w:p w:rsidR="004F50E1" w:rsidRPr="00720DC2" w:rsidRDefault="004F50E1" w:rsidP="004F50E1">
      <w:pPr>
        <w:ind w:firstLine="705"/>
        <w:jc w:val="both"/>
        <w:rPr>
          <w:lang w:val="uk-UA"/>
        </w:rPr>
      </w:pPr>
      <w:r w:rsidRPr="00720DC2">
        <w:rPr>
          <w:lang w:val="uk-UA"/>
        </w:rPr>
        <w:t>Для зменшення витрат води, через занижену чутливість або несправність приладів обліку, здійснено заміну 727 лічильників на суму 313,4тис.грн.</w:t>
      </w:r>
    </w:p>
    <w:p w:rsidR="004F50E1" w:rsidRPr="00720DC2" w:rsidRDefault="004F50E1" w:rsidP="004F50E1">
      <w:pPr>
        <w:ind w:firstLine="705"/>
        <w:jc w:val="both"/>
        <w:rPr>
          <w:rFonts w:cs="Times New Roman"/>
          <w:lang w:val="uk-UA"/>
        </w:rPr>
      </w:pPr>
      <w:r w:rsidRPr="00720DC2">
        <w:rPr>
          <w:lang w:val="uk-UA"/>
        </w:rPr>
        <w:t xml:space="preserve">Проведено тендерні процедури для закупівлі решітки грубої очистки та насоса "ФЛЮГТ 3400/835" для головної каналізаційної насосної станції аерації. Здійснено заміну насосних агрегатів на ВНС </w:t>
      </w:r>
      <w:r w:rsidR="00BB3619">
        <w:rPr>
          <w:lang w:val="uk-UA"/>
        </w:rPr>
        <w:t>на</w:t>
      </w:r>
      <w:r w:rsidRPr="00720DC2">
        <w:rPr>
          <w:lang w:val="uk-UA"/>
        </w:rPr>
        <w:t xml:space="preserve"> вул.Толстого,5 та вул.Слов</w:t>
      </w:r>
      <w:r w:rsidRPr="00720DC2">
        <w:rPr>
          <w:rFonts w:cs="Times New Roman"/>
          <w:lang w:val="uk-UA"/>
        </w:rPr>
        <w:t xml:space="preserve">'янській,1, а також агрегату КНС </w:t>
      </w:r>
      <w:r w:rsidR="00BB3619">
        <w:rPr>
          <w:rFonts w:cs="Times New Roman"/>
          <w:lang w:val="uk-UA"/>
        </w:rPr>
        <w:t>на</w:t>
      </w:r>
      <w:r w:rsidRPr="00720DC2">
        <w:rPr>
          <w:rFonts w:cs="Times New Roman"/>
          <w:lang w:val="uk-UA"/>
        </w:rPr>
        <w:t xml:space="preserve"> вул.Сєчєнова,129. </w:t>
      </w:r>
    </w:p>
    <w:p w:rsidR="004F50E1" w:rsidRPr="00720DC2" w:rsidRDefault="004F50E1" w:rsidP="004F50E1">
      <w:pPr>
        <w:ind w:firstLine="705"/>
        <w:jc w:val="both"/>
        <w:rPr>
          <w:rFonts w:cs="Times New Roman"/>
          <w:lang w:val="uk-UA"/>
        </w:rPr>
      </w:pPr>
      <w:r w:rsidRPr="00720DC2">
        <w:rPr>
          <w:rFonts w:cs="Times New Roman"/>
          <w:lang w:val="uk-UA"/>
        </w:rPr>
        <w:t>Проведено заміну аварійнх водопровідних уводів 1071</w:t>
      </w:r>
      <w:r w:rsidR="00821900">
        <w:rPr>
          <w:rFonts w:cs="Times New Roman"/>
          <w:lang w:val="uk-UA"/>
        </w:rPr>
        <w:t xml:space="preserve"> </w:t>
      </w:r>
      <w:r w:rsidRPr="00720DC2">
        <w:rPr>
          <w:rFonts w:cs="Times New Roman"/>
          <w:lang w:val="uk-UA"/>
        </w:rPr>
        <w:t>м, аварійн</w:t>
      </w:r>
      <w:r w:rsidR="00FC6932" w:rsidRPr="00720DC2">
        <w:rPr>
          <w:rFonts w:cs="Times New Roman"/>
          <w:lang w:val="uk-UA"/>
        </w:rPr>
        <w:t>и</w:t>
      </w:r>
      <w:r w:rsidRPr="00720DC2">
        <w:rPr>
          <w:rFonts w:cs="Times New Roman"/>
          <w:lang w:val="uk-UA"/>
        </w:rPr>
        <w:t>х водопровідних мереж – 1432</w:t>
      </w:r>
      <w:r w:rsidR="00A70895" w:rsidRPr="00720DC2">
        <w:rPr>
          <w:rFonts w:cs="Times New Roman"/>
          <w:lang w:val="uk-UA"/>
        </w:rPr>
        <w:t xml:space="preserve"> </w:t>
      </w:r>
      <w:r w:rsidRPr="00720DC2">
        <w:rPr>
          <w:rFonts w:cs="Times New Roman"/>
          <w:lang w:val="uk-UA"/>
        </w:rPr>
        <w:t>м.</w:t>
      </w:r>
    </w:p>
    <w:p w:rsidR="004F50E1" w:rsidRPr="00720DC2" w:rsidRDefault="004F50E1" w:rsidP="004F50E1">
      <w:pPr>
        <w:ind w:firstLine="705"/>
        <w:jc w:val="both"/>
        <w:rPr>
          <w:lang w:val="uk-UA"/>
        </w:rPr>
      </w:pPr>
      <w:r w:rsidRPr="00720DC2">
        <w:rPr>
          <w:rFonts w:cs="Times New Roman"/>
          <w:lang w:val="uk-UA"/>
        </w:rPr>
        <w:lastRenderedPageBreak/>
        <w:t>Для пошуку витоків на водопровідних мережах міста</w:t>
      </w:r>
      <w:r w:rsidR="00821900">
        <w:rPr>
          <w:rFonts w:cs="Times New Roman"/>
          <w:lang w:val="uk-UA"/>
        </w:rPr>
        <w:t xml:space="preserve"> придбано кореляційну систему (</w:t>
      </w:r>
      <w:r w:rsidRPr="00720DC2">
        <w:rPr>
          <w:rFonts w:cs="Times New Roman"/>
          <w:lang w:val="uk-UA"/>
        </w:rPr>
        <w:t>корелятор, гідрофони та геофон</w:t>
      </w:r>
      <w:r w:rsidR="00821900">
        <w:rPr>
          <w:rFonts w:cs="Times New Roman"/>
          <w:lang w:val="uk-UA"/>
        </w:rPr>
        <w:t>)</w:t>
      </w:r>
      <w:r w:rsidRPr="00720DC2">
        <w:rPr>
          <w:rFonts w:cs="Times New Roman"/>
          <w:lang w:val="uk-UA"/>
        </w:rPr>
        <w:t>. За допомогою креляційної системи виявлено та усунено 114 витоків води з мережі.</w:t>
      </w:r>
    </w:p>
    <w:p w:rsidR="004F50E1" w:rsidRDefault="00200BC8" w:rsidP="004F50E1">
      <w:pPr>
        <w:ind w:firstLine="705"/>
        <w:jc w:val="both"/>
        <w:rPr>
          <w:lang w:val="uk-UA"/>
        </w:rPr>
      </w:pPr>
      <w:r>
        <w:rPr>
          <w:lang w:val="uk-UA"/>
        </w:rPr>
        <w:t>У</w:t>
      </w:r>
      <w:r w:rsidR="004F50E1" w:rsidRPr="00720DC2">
        <w:rPr>
          <w:lang w:val="uk-UA"/>
        </w:rPr>
        <w:t xml:space="preserve"> рамках впровадження інвестиційної програми завершується будівництво водопровідної насосної станції на вул. Целевича. </w:t>
      </w:r>
      <w:r w:rsidR="00821900">
        <w:rPr>
          <w:lang w:val="uk-UA"/>
        </w:rPr>
        <w:t>У</w:t>
      </w:r>
      <w:r w:rsidR="004F50E1" w:rsidRPr="00720DC2">
        <w:rPr>
          <w:lang w:val="uk-UA"/>
        </w:rPr>
        <w:t xml:space="preserve"> 2018 </w:t>
      </w:r>
      <w:r w:rsidR="00821900">
        <w:rPr>
          <w:lang w:val="uk-UA"/>
        </w:rPr>
        <w:t>році виконано робіт на суму</w:t>
      </w:r>
      <w:r w:rsidR="004F50E1" w:rsidRPr="00720DC2">
        <w:rPr>
          <w:lang w:val="uk-UA"/>
        </w:rPr>
        <w:t xml:space="preserve"> 2,9</w:t>
      </w:r>
      <w:r w:rsidR="004E34F2" w:rsidRPr="00720DC2">
        <w:rPr>
          <w:lang w:val="uk-UA"/>
        </w:rPr>
        <w:t xml:space="preserve"> </w:t>
      </w:r>
      <w:r w:rsidR="004F50E1" w:rsidRPr="00720DC2">
        <w:rPr>
          <w:lang w:val="uk-UA"/>
        </w:rPr>
        <w:t>млн</w:t>
      </w:r>
      <w:r w:rsidR="004E34F2" w:rsidRPr="00720DC2">
        <w:rPr>
          <w:lang w:val="uk-UA"/>
        </w:rPr>
        <w:t xml:space="preserve"> </w:t>
      </w:r>
      <w:r w:rsidR="004F50E1" w:rsidRPr="00720DC2">
        <w:rPr>
          <w:lang w:val="uk-UA"/>
        </w:rPr>
        <w:t>грн.</w:t>
      </w:r>
    </w:p>
    <w:p w:rsidR="004F50E1" w:rsidRPr="00720DC2" w:rsidRDefault="004F50E1" w:rsidP="004F50E1">
      <w:pPr>
        <w:tabs>
          <w:tab w:val="left" w:pos="840"/>
        </w:tabs>
        <w:jc w:val="both"/>
        <w:rPr>
          <w:i/>
          <w:lang w:val="uk-UA"/>
        </w:rPr>
      </w:pPr>
      <w:r w:rsidRPr="00720DC2">
        <w:rPr>
          <w:i/>
          <w:lang w:val="uk-UA"/>
        </w:rPr>
        <w:t>Характеристика мереж водопостачання та водовідведення:</w:t>
      </w:r>
    </w:p>
    <w:tbl>
      <w:tblPr>
        <w:tblStyle w:val="af6"/>
        <w:tblW w:w="0" w:type="auto"/>
        <w:tblInd w:w="108" w:type="dxa"/>
        <w:tblLook w:val="04A0" w:firstRow="1" w:lastRow="0" w:firstColumn="1" w:lastColumn="0" w:noHBand="0" w:noVBand="1"/>
      </w:tblPr>
      <w:tblGrid>
        <w:gridCol w:w="5421"/>
        <w:gridCol w:w="1141"/>
        <w:gridCol w:w="1129"/>
        <w:gridCol w:w="1487"/>
      </w:tblGrid>
      <w:tr w:rsidR="004F50E1" w:rsidRPr="00720DC2" w:rsidTr="00C7338C">
        <w:tc>
          <w:tcPr>
            <w:tcW w:w="5421" w:type="dxa"/>
            <w:vAlign w:val="center"/>
          </w:tcPr>
          <w:p w:rsidR="004F50E1" w:rsidRPr="00720DC2" w:rsidRDefault="004F50E1" w:rsidP="003B6690">
            <w:pPr>
              <w:jc w:val="center"/>
              <w:rPr>
                <w:rFonts w:cs="Times New Roman"/>
                <w:b/>
                <w:sz w:val="24"/>
                <w:szCs w:val="24"/>
                <w:lang w:val="uk-UA"/>
              </w:rPr>
            </w:pPr>
          </w:p>
        </w:tc>
        <w:tc>
          <w:tcPr>
            <w:tcW w:w="1141" w:type="dxa"/>
            <w:vAlign w:val="center"/>
          </w:tcPr>
          <w:p w:rsidR="004F50E1" w:rsidRPr="00720DC2" w:rsidRDefault="00C7338C" w:rsidP="00C7338C">
            <w:pPr>
              <w:jc w:val="center"/>
              <w:rPr>
                <w:rFonts w:cs="Times New Roman"/>
                <w:b/>
                <w:sz w:val="24"/>
                <w:szCs w:val="24"/>
                <w:lang w:val="uk-UA"/>
              </w:rPr>
            </w:pPr>
            <w:r>
              <w:rPr>
                <w:rFonts w:cs="Times New Roman"/>
                <w:b/>
                <w:sz w:val="24"/>
                <w:szCs w:val="24"/>
                <w:lang w:val="uk-UA"/>
              </w:rPr>
              <w:t>Одниця</w:t>
            </w:r>
            <w:r w:rsidR="00394747">
              <w:rPr>
                <w:rFonts w:cs="Times New Roman"/>
                <w:b/>
                <w:sz w:val="24"/>
                <w:szCs w:val="24"/>
                <w:lang w:val="uk-UA"/>
              </w:rPr>
              <w:t xml:space="preserve"> вимір</w:t>
            </w:r>
            <w:r>
              <w:rPr>
                <w:rFonts w:cs="Times New Roman"/>
                <w:b/>
                <w:sz w:val="24"/>
                <w:szCs w:val="24"/>
                <w:lang w:val="uk-UA"/>
              </w:rPr>
              <w:t>у</w:t>
            </w:r>
          </w:p>
        </w:tc>
        <w:tc>
          <w:tcPr>
            <w:tcW w:w="1129" w:type="dxa"/>
            <w:vAlign w:val="center"/>
          </w:tcPr>
          <w:p w:rsidR="004F50E1" w:rsidRPr="00720DC2" w:rsidRDefault="00394747" w:rsidP="00C7338C">
            <w:pPr>
              <w:jc w:val="center"/>
              <w:rPr>
                <w:rFonts w:cs="Times New Roman"/>
                <w:b/>
                <w:sz w:val="24"/>
                <w:szCs w:val="24"/>
                <w:lang w:val="uk-UA"/>
              </w:rPr>
            </w:pPr>
            <w:r>
              <w:rPr>
                <w:rFonts w:cs="Times New Roman"/>
                <w:b/>
                <w:sz w:val="24"/>
                <w:szCs w:val="24"/>
                <w:lang w:val="uk-UA"/>
              </w:rPr>
              <w:t>2017 рік</w:t>
            </w:r>
          </w:p>
        </w:tc>
        <w:tc>
          <w:tcPr>
            <w:tcW w:w="1487" w:type="dxa"/>
            <w:vAlign w:val="center"/>
          </w:tcPr>
          <w:p w:rsidR="004F50E1" w:rsidRPr="00720DC2" w:rsidRDefault="00394747" w:rsidP="00C7338C">
            <w:pPr>
              <w:jc w:val="center"/>
              <w:rPr>
                <w:rFonts w:cs="Times New Roman"/>
                <w:b/>
                <w:sz w:val="24"/>
                <w:szCs w:val="24"/>
                <w:lang w:val="uk-UA"/>
              </w:rPr>
            </w:pPr>
            <w:r>
              <w:rPr>
                <w:rFonts w:cs="Times New Roman"/>
                <w:b/>
                <w:sz w:val="24"/>
                <w:szCs w:val="24"/>
                <w:lang w:val="uk-UA"/>
              </w:rPr>
              <w:t>2018 рік</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Загальна протяжність водопостачання, в т.ч.:</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601,6</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609,73</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 водогонів</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63,9</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64,8</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 вуличної водопровідної мережі</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305,3</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308,47</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 внутрішньокв</w:t>
            </w:r>
            <w:r w:rsidR="00A31EF1">
              <w:rPr>
                <w:rFonts w:eastAsia="Calibri" w:cs="Times New Roman"/>
                <w:sz w:val="24"/>
                <w:szCs w:val="24"/>
                <w:lang w:val="uk-UA" w:eastAsia="en-US"/>
              </w:rPr>
              <w:t>артальної та внутрішньодворової</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232,4</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236,46</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Загальна протяжність водовідведення, в т.ч.:</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332,3</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336,1</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 колекторів</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32,8</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32,8</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 вуличних каналізаційних мереж</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146</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147,24</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 внутрішньокв</w:t>
            </w:r>
            <w:r w:rsidR="00A31EF1">
              <w:rPr>
                <w:rFonts w:eastAsia="Calibri" w:cs="Times New Roman"/>
                <w:sz w:val="24"/>
                <w:szCs w:val="24"/>
                <w:lang w:val="uk-UA" w:eastAsia="en-US"/>
              </w:rPr>
              <w:t>артальних та внутрішньодворових</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153,5</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156,06</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Ремонт мереж водопостачання</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4,6</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3,8</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Ремонт мереж водовідведення</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км</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3,3</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2,19</w:t>
            </w:r>
          </w:p>
        </w:tc>
      </w:tr>
      <w:tr w:rsidR="004F50E1" w:rsidRPr="00720DC2" w:rsidTr="00C7338C">
        <w:tc>
          <w:tcPr>
            <w:tcW w:w="5421" w:type="dxa"/>
          </w:tcPr>
          <w:p w:rsidR="004F50E1" w:rsidRPr="00720DC2" w:rsidRDefault="004F50E1" w:rsidP="003B6690">
            <w:pPr>
              <w:rPr>
                <w:rFonts w:eastAsia="Calibri" w:cs="Times New Roman"/>
                <w:sz w:val="24"/>
                <w:szCs w:val="24"/>
                <w:lang w:val="uk-UA" w:eastAsia="en-US"/>
              </w:rPr>
            </w:pPr>
            <w:r w:rsidRPr="00720DC2">
              <w:rPr>
                <w:rFonts w:eastAsia="Calibri" w:cs="Times New Roman"/>
                <w:sz w:val="24"/>
                <w:szCs w:val="24"/>
                <w:lang w:val="uk-UA" w:eastAsia="en-US"/>
              </w:rPr>
              <w:t>Встановлення будинкових засобів обліку води</w:t>
            </w:r>
          </w:p>
        </w:tc>
        <w:tc>
          <w:tcPr>
            <w:tcW w:w="1141" w:type="dxa"/>
          </w:tcPr>
          <w:p w:rsidR="004F50E1" w:rsidRPr="00720DC2" w:rsidRDefault="004F50E1" w:rsidP="003B6690">
            <w:pPr>
              <w:jc w:val="center"/>
              <w:rPr>
                <w:rFonts w:eastAsia="Calibri" w:cs="Times New Roman"/>
                <w:sz w:val="24"/>
                <w:szCs w:val="24"/>
                <w:lang w:val="uk-UA" w:eastAsia="en-US"/>
              </w:rPr>
            </w:pPr>
            <w:r w:rsidRPr="00720DC2">
              <w:rPr>
                <w:rFonts w:eastAsia="Calibri" w:cs="Times New Roman"/>
                <w:sz w:val="24"/>
                <w:szCs w:val="24"/>
                <w:lang w:val="uk-UA" w:eastAsia="en-US"/>
              </w:rPr>
              <w:t>шт.</w:t>
            </w:r>
          </w:p>
        </w:tc>
        <w:tc>
          <w:tcPr>
            <w:tcW w:w="1129"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92</w:t>
            </w:r>
          </w:p>
        </w:tc>
        <w:tc>
          <w:tcPr>
            <w:tcW w:w="1487" w:type="dxa"/>
            <w:vAlign w:val="center"/>
          </w:tcPr>
          <w:p w:rsidR="004F50E1" w:rsidRPr="00720DC2" w:rsidRDefault="004F50E1" w:rsidP="00C7338C">
            <w:pPr>
              <w:ind w:right="317"/>
              <w:jc w:val="center"/>
              <w:rPr>
                <w:rFonts w:eastAsia="Calibri" w:cs="Times New Roman"/>
                <w:sz w:val="24"/>
                <w:szCs w:val="24"/>
                <w:lang w:val="uk-UA" w:eastAsia="en-US"/>
              </w:rPr>
            </w:pPr>
            <w:r w:rsidRPr="00720DC2">
              <w:rPr>
                <w:rFonts w:eastAsia="Calibri" w:cs="Times New Roman"/>
                <w:sz w:val="24"/>
                <w:szCs w:val="24"/>
                <w:lang w:val="uk-UA" w:eastAsia="en-US"/>
              </w:rPr>
              <w:t>56</w:t>
            </w:r>
          </w:p>
        </w:tc>
      </w:tr>
    </w:tbl>
    <w:p w:rsidR="004F50E1" w:rsidRPr="00720DC2" w:rsidRDefault="004F50E1" w:rsidP="004F50E1">
      <w:pPr>
        <w:pStyle w:val="af1"/>
        <w:ind w:left="0" w:firstLine="709"/>
        <w:jc w:val="both"/>
        <w:rPr>
          <w:sz w:val="28"/>
          <w:szCs w:val="28"/>
          <w:lang w:val="uk-UA"/>
        </w:rPr>
      </w:pPr>
    </w:p>
    <w:p w:rsidR="004F50E1" w:rsidRPr="00720DC2" w:rsidRDefault="004F50E1" w:rsidP="004F50E1">
      <w:pPr>
        <w:pStyle w:val="af1"/>
        <w:ind w:left="0" w:firstLine="709"/>
        <w:jc w:val="both"/>
        <w:rPr>
          <w:sz w:val="28"/>
          <w:szCs w:val="28"/>
          <w:lang w:val="uk-UA"/>
        </w:rPr>
      </w:pPr>
      <w:r w:rsidRPr="00720DC2">
        <w:rPr>
          <w:sz w:val="28"/>
          <w:szCs w:val="28"/>
          <w:lang w:val="uk-UA"/>
        </w:rPr>
        <w:t>В котельні, що</w:t>
      </w:r>
      <w:r w:rsidR="00FC6932" w:rsidRPr="00720DC2">
        <w:rPr>
          <w:sz w:val="28"/>
          <w:szCs w:val="28"/>
          <w:lang w:val="uk-UA"/>
        </w:rPr>
        <w:t xml:space="preserve"> належить ДМП "Івано-Франківськ</w:t>
      </w:r>
      <w:r w:rsidRPr="00720DC2">
        <w:rPr>
          <w:sz w:val="28"/>
          <w:szCs w:val="28"/>
          <w:lang w:val="uk-UA"/>
        </w:rPr>
        <w:t>теплокомуненерго" та знаходиться на вул.Довгій, 68а,  французька компанія "ЕNERTEX" здійснює демонтажні роботи на третьому котлі ТВГ -8М. Проводиться заміна старого обладнання на новий сучасний газовий котлоагрегат потужністю 8МВт із допоміжним обладанням. Модернізація даної котельні проводиться в рамках впровадження проекту ЄБРР "Реконструкція та модернізація системи центрального теплопостачання міста Івано-Франківська".</w:t>
      </w:r>
    </w:p>
    <w:p w:rsidR="004F50E1" w:rsidRPr="00720DC2" w:rsidRDefault="004F50E1" w:rsidP="004F50E1">
      <w:pPr>
        <w:pStyle w:val="af1"/>
        <w:ind w:left="0" w:firstLine="709"/>
        <w:jc w:val="both"/>
        <w:rPr>
          <w:sz w:val="28"/>
          <w:szCs w:val="28"/>
          <w:lang w:val="uk-UA"/>
        </w:rPr>
      </w:pPr>
    </w:p>
    <w:p w:rsidR="004F50E1" w:rsidRPr="00720DC2" w:rsidRDefault="004F50E1" w:rsidP="004F50E1">
      <w:pPr>
        <w:tabs>
          <w:tab w:val="left" w:pos="840"/>
        </w:tabs>
        <w:jc w:val="both"/>
        <w:rPr>
          <w:i/>
          <w:lang w:val="uk-UA"/>
        </w:rPr>
      </w:pPr>
      <w:r w:rsidRPr="00720DC2">
        <w:rPr>
          <w:i/>
          <w:lang w:val="uk-UA"/>
        </w:rPr>
        <w:t xml:space="preserve">Характеристика </w:t>
      </w:r>
      <w:r w:rsidR="00FC6932" w:rsidRPr="00720DC2">
        <w:rPr>
          <w:i/>
          <w:lang w:val="uk-UA"/>
        </w:rPr>
        <w:t>теплових мереж</w:t>
      </w:r>
      <w:r w:rsidRPr="00720DC2">
        <w:rPr>
          <w:i/>
          <w:lang w:val="uk-UA"/>
        </w:rPr>
        <w:t>:</w:t>
      </w:r>
    </w:p>
    <w:tbl>
      <w:tblPr>
        <w:tblStyle w:val="af6"/>
        <w:tblW w:w="0" w:type="auto"/>
        <w:tblInd w:w="108" w:type="dxa"/>
        <w:tblLook w:val="04A0" w:firstRow="1" w:lastRow="0" w:firstColumn="1" w:lastColumn="0" w:noHBand="0" w:noVBand="1"/>
      </w:tblPr>
      <w:tblGrid>
        <w:gridCol w:w="5805"/>
        <w:gridCol w:w="1208"/>
        <w:gridCol w:w="1134"/>
        <w:gridCol w:w="1098"/>
      </w:tblGrid>
      <w:tr w:rsidR="004F50E1" w:rsidRPr="00720DC2" w:rsidTr="003B6690">
        <w:tc>
          <w:tcPr>
            <w:tcW w:w="5805" w:type="dxa"/>
            <w:vAlign w:val="center"/>
          </w:tcPr>
          <w:p w:rsidR="004F50E1" w:rsidRPr="00720DC2" w:rsidRDefault="004F50E1" w:rsidP="003B6690">
            <w:pPr>
              <w:jc w:val="center"/>
              <w:rPr>
                <w:b/>
                <w:sz w:val="24"/>
                <w:szCs w:val="24"/>
                <w:lang w:val="uk-UA"/>
              </w:rPr>
            </w:pPr>
            <w:r w:rsidRPr="00720DC2">
              <w:rPr>
                <w:b/>
                <w:sz w:val="24"/>
                <w:szCs w:val="24"/>
                <w:lang w:val="uk-UA"/>
              </w:rPr>
              <w:t>Назва обʼєкту</w:t>
            </w:r>
          </w:p>
        </w:tc>
        <w:tc>
          <w:tcPr>
            <w:tcW w:w="1141" w:type="dxa"/>
            <w:vAlign w:val="center"/>
          </w:tcPr>
          <w:p w:rsidR="004F50E1" w:rsidRPr="00720DC2" w:rsidRDefault="00C7338C" w:rsidP="003B6690">
            <w:pPr>
              <w:jc w:val="center"/>
              <w:rPr>
                <w:b/>
                <w:sz w:val="24"/>
                <w:szCs w:val="24"/>
                <w:lang w:val="uk-UA"/>
              </w:rPr>
            </w:pPr>
            <w:r>
              <w:rPr>
                <w:b/>
                <w:sz w:val="24"/>
                <w:szCs w:val="24"/>
                <w:lang w:val="uk-UA"/>
              </w:rPr>
              <w:t>О</w:t>
            </w:r>
            <w:r w:rsidR="004F50E1" w:rsidRPr="00720DC2">
              <w:rPr>
                <w:b/>
                <w:sz w:val="24"/>
                <w:szCs w:val="24"/>
                <w:lang w:val="uk-UA"/>
              </w:rPr>
              <w:t>диниця виміру</w:t>
            </w:r>
          </w:p>
        </w:tc>
        <w:tc>
          <w:tcPr>
            <w:tcW w:w="1134" w:type="dxa"/>
            <w:vAlign w:val="center"/>
          </w:tcPr>
          <w:p w:rsidR="004F50E1" w:rsidRPr="00720DC2" w:rsidRDefault="004F50E1" w:rsidP="003B6690">
            <w:pPr>
              <w:jc w:val="center"/>
              <w:rPr>
                <w:b/>
                <w:sz w:val="24"/>
                <w:szCs w:val="24"/>
                <w:lang w:val="uk-UA"/>
              </w:rPr>
            </w:pPr>
            <w:r w:rsidRPr="00720DC2">
              <w:rPr>
                <w:b/>
                <w:sz w:val="24"/>
                <w:szCs w:val="24"/>
                <w:lang w:val="uk-UA"/>
              </w:rPr>
              <w:t xml:space="preserve">2017 рік </w:t>
            </w:r>
          </w:p>
        </w:tc>
        <w:tc>
          <w:tcPr>
            <w:tcW w:w="1098" w:type="dxa"/>
            <w:vAlign w:val="center"/>
          </w:tcPr>
          <w:p w:rsidR="004F50E1" w:rsidRPr="00720DC2" w:rsidRDefault="004F50E1" w:rsidP="003B6690">
            <w:pPr>
              <w:jc w:val="center"/>
              <w:rPr>
                <w:b/>
                <w:sz w:val="24"/>
                <w:szCs w:val="24"/>
                <w:lang w:val="uk-UA"/>
              </w:rPr>
            </w:pPr>
            <w:r w:rsidRPr="00720DC2">
              <w:rPr>
                <w:b/>
                <w:sz w:val="24"/>
                <w:szCs w:val="24"/>
                <w:lang w:val="uk-UA"/>
              </w:rPr>
              <w:t xml:space="preserve">2018 рік </w:t>
            </w:r>
          </w:p>
        </w:tc>
      </w:tr>
      <w:tr w:rsidR="004F50E1" w:rsidRPr="00720DC2" w:rsidTr="003B6690">
        <w:tc>
          <w:tcPr>
            <w:tcW w:w="9178" w:type="dxa"/>
            <w:gridSpan w:val="4"/>
            <w:vAlign w:val="center"/>
          </w:tcPr>
          <w:p w:rsidR="004F50E1" w:rsidRPr="00720DC2" w:rsidRDefault="004F50E1" w:rsidP="003B6690">
            <w:pPr>
              <w:jc w:val="center"/>
              <w:rPr>
                <w:sz w:val="24"/>
                <w:szCs w:val="24"/>
                <w:lang w:val="uk-UA"/>
              </w:rPr>
            </w:pPr>
            <w:r w:rsidRPr="00720DC2">
              <w:rPr>
                <w:i/>
                <w:sz w:val="24"/>
                <w:szCs w:val="24"/>
                <w:lang w:val="uk-UA"/>
              </w:rPr>
              <w:t>Характеристика теплових мереж</w:t>
            </w:r>
          </w:p>
        </w:tc>
      </w:tr>
      <w:tr w:rsidR="004F50E1" w:rsidRPr="00720DC2" w:rsidTr="003B6690">
        <w:tc>
          <w:tcPr>
            <w:tcW w:w="5805" w:type="dxa"/>
          </w:tcPr>
          <w:p w:rsidR="004F50E1" w:rsidRPr="00720DC2" w:rsidRDefault="004F50E1" w:rsidP="003B6690">
            <w:pPr>
              <w:rPr>
                <w:sz w:val="24"/>
                <w:szCs w:val="24"/>
                <w:lang w:val="uk-UA"/>
              </w:rPr>
            </w:pPr>
            <w:r w:rsidRPr="00720DC2">
              <w:rPr>
                <w:sz w:val="24"/>
                <w:szCs w:val="24"/>
                <w:lang w:val="uk-UA"/>
              </w:rPr>
              <w:t>Загальна протяжність централізованих теплових мереж</w:t>
            </w:r>
          </w:p>
        </w:tc>
        <w:tc>
          <w:tcPr>
            <w:tcW w:w="1141" w:type="dxa"/>
          </w:tcPr>
          <w:p w:rsidR="004F50E1" w:rsidRPr="00720DC2" w:rsidRDefault="004F50E1" w:rsidP="003B6690">
            <w:pPr>
              <w:jc w:val="center"/>
              <w:rPr>
                <w:sz w:val="24"/>
                <w:szCs w:val="24"/>
                <w:lang w:val="uk-UA"/>
              </w:rPr>
            </w:pPr>
          </w:p>
          <w:p w:rsidR="004F50E1" w:rsidRPr="00720DC2" w:rsidRDefault="004F50E1" w:rsidP="003B6690">
            <w:pPr>
              <w:jc w:val="center"/>
              <w:rPr>
                <w:sz w:val="24"/>
                <w:szCs w:val="24"/>
                <w:lang w:val="uk-UA"/>
              </w:rPr>
            </w:pPr>
            <w:r w:rsidRPr="00720DC2">
              <w:rPr>
                <w:sz w:val="24"/>
                <w:szCs w:val="24"/>
                <w:lang w:val="uk-UA"/>
              </w:rPr>
              <w:t>км</w:t>
            </w:r>
          </w:p>
        </w:tc>
        <w:tc>
          <w:tcPr>
            <w:tcW w:w="1134" w:type="dxa"/>
            <w:vAlign w:val="bottom"/>
          </w:tcPr>
          <w:p w:rsidR="004F50E1" w:rsidRPr="00720DC2" w:rsidRDefault="004F50E1" w:rsidP="003B6690">
            <w:pPr>
              <w:jc w:val="center"/>
              <w:rPr>
                <w:sz w:val="24"/>
                <w:szCs w:val="24"/>
                <w:lang w:val="uk-UA"/>
              </w:rPr>
            </w:pPr>
            <w:r w:rsidRPr="00720DC2">
              <w:rPr>
                <w:sz w:val="24"/>
                <w:szCs w:val="24"/>
                <w:lang w:val="uk-UA"/>
              </w:rPr>
              <w:t>131,887</w:t>
            </w:r>
          </w:p>
        </w:tc>
        <w:tc>
          <w:tcPr>
            <w:tcW w:w="1098" w:type="dxa"/>
            <w:vAlign w:val="bottom"/>
          </w:tcPr>
          <w:p w:rsidR="004F50E1" w:rsidRPr="00720DC2" w:rsidRDefault="004F50E1" w:rsidP="003B6690">
            <w:pPr>
              <w:jc w:val="center"/>
              <w:rPr>
                <w:sz w:val="24"/>
                <w:szCs w:val="24"/>
                <w:lang w:val="uk-UA"/>
              </w:rPr>
            </w:pPr>
            <w:r w:rsidRPr="00720DC2">
              <w:rPr>
                <w:sz w:val="24"/>
                <w:szCs w:val="24"/>
                <w:lang w:val="uk-UA"/>
              </w:rPr>
              <w:t>131,416</w:t>
            </w:r>
          </w:p>
        </w:tc>
      </w:tr>
      <w:tr w:rsidR="004F50E1" w:rsidRPr="00720DC2" w:rsidTr="003B6690">
        <w:trPr>
          <w:trHeight w:val="387"/>
        </w:trPr>
        <w:tc>
          <w:tcPr>
            <w:tcW w:w="5805" w:type="dxa"/>
          </w:tcPr>
          <w:p w:rsidR="004F50E1" w:rsidRPr="00720DC2" w:rsidRDefault="004F50E1" w:rsidP="003B6690">
            <w:pPr>
              <w:rPr>
                <w:sz w:val="24"/>
                <w:szCs w:val="24"/>
                <w:lang w:val="uk-UA"/>
              </w:rPr>
            </w:pPr>
            <w:r w:rsidRPr="00720DC2">
              <w:rPr>
                <w:sz w:val="24"/>
                <w:szCs w:val="24"/>
                <w:lang w:val="uk-UA"/>
              </w:rPr>
              <w:t>Ремонт теплових мереж</w:t>
            </w:r>
          </w:p>
        </w:tc>
        <w:tc>
          <w:tcPr>
            <w:tcW w:w="1141" w:type="dxa"/>
            <w:vAlign w:val="bottom"/>
          </w:tcPr>
          <w:p w:rsidR="004F50E1" w:rsidRPr="00720DC2" w:rsidRDefault="004F50E1" w:rsidP="003B6690">
            <w:pPr>
              <w:jc w:val="center"/>
              <w:rPr>
                <w:sz w:val="24"/>
                <w:szCs w:val="24"/>
                <w:lang w:val="uk-UA"/>
              </w:rPr>
            </w:pPr>
            <w:r w:rsidRPr="00720DC2">
              <w:rPr>
                <w:sz w:val="24"/>
                <w:szCs w:val="24"/>
                <w:lang w:val="uk-UA"/>
              </w:rPr>
              <w:t>км</w:t>
            </w:r>
          </w:p>
        </w:tc>
        <w:tc>
          <w:tcPr>
            <w:tcW w:w="1134" w:type="dxa"/>
            <w:vAlign w:val="bottom"/>
          </w:tcPr>
          <w:p w:rsidR="004F50E1" w:rsidRPr="00720DC2" w:rsidRDefault="004F50E1" w:rsidP="003B6690">
            <w:pPr>
              <w:jc w:val="center"/>
              <w:rPr>
                <w:sz w:val="24"/>
                <w:szCs w:val="24"/>
                <w:lang w:val="uk-UA"/>
              </w:rPr>
            </w:pPr>
            <w:r w:rsidRPr="00720DC2">
              <w:rPr>
                <w:sz w:val="24"/>
                <w:szCs w:val="24"/>
                <w:lang w:val="uk-UA"/>
              </w:rPr>
              <w:t>1,339</w:t>
            </w:r>
          </w:p>
        </w:tc>
        <w:tc>
          <w:tcPr>
            <w:tcW w:w="1098" w:type="dxa"/>
            <w:vAlign w:val="bottom"/>
          </w:tcPr>
          <w:p w:rsidR="004F50E1" w:rsidRPr="00720DC2" w:rsidRDefault="004F50E1" w:rsidP="003B6690">
            <w:pPr>
              <w:jc w:val="center"/>
              <w:rPr>
                <w:sz w:val="24"/>
                <w:szCs w:val="24"/>
                <w:lang w:val="uk-UA"/>
              </w:rPr>
            </w:pPr>
            <w:r w:rsidRPr="00720DC2">
              <w:rPr>
                <w:sz w:val="24"/>
                <w:szCs w:val="24"/>
                <w:lang w:val="uk-UA"/>
              </w:rPr>
              <w:t>2,141</w:t>
            </w:r>
          </w:p>
        </w:tc>
      </w:tr>
      <w:tr w:rsidR="004F50E1" w:rsidRPr="00720DC2" w:rsidTr="003B6690">
        <w:tc>
          <w:tcPr>
            <w:tcW w:w="5805" w:type="dxa"/>
          </w:tcPr>
          <w:p w:rsidR="004F50E1" w:rsidRPr="00720DC2" w:rsidRDefault="004F50E1" w:rsidP="003B6690">
            <w:pPr>
              <w:rPr>
                <w:sz w:val="24"/>
                <w:szCs w:val="24"/>
                <w:lang w:val="uk-UA"/>
              </w:rPr>
            </w:pPr>
            <w:r w:rsidRPr="00720DC2">
              <w:rPr>
                <w:sz w:val="24"/>
                <w:szCs w:val="24"/>
                <w:lang w:val="uk-UA"/>
              </w:rPr>
              <w:t>Ремонт мереж гарячого водопостачання</w:t>
            </w:r>
          </w:p>
        </w:tc>
        <w:tc>
          <w:tcPr>
            <w:tcW w:w="1141" w:type="dxa"/>
            <w:vAlign w:val="bottom"/>
          </w:tcPr>
          <w:p w:rsidR="004F50E1" w:rsidRPr="00720DC2" w:rsidRDefault="004F50E1" w:rsidP="003B6690">
            <w:pPr>
              <w:jc w:val="center"/>
              <w:rPr>
                <w:sz w:val="24"/>
                <w:szCs w:val="24"/>
                <w:lang w:val="uk-UA"/>
              </w:rPr>
            </w:pPr>
            <w:r w:rsidRPr="00720DC2">
              <w:rPr>
                <w:sz w:val="24"/>
                <w:szCs w:val="24"/>
                <w:lang w:val="uk-UA"/>
              </w:rPr>
              <w:t>км</w:t>
            </w:r>
          </w:p>
        </w:tc>
        <w:tc>
          <w:tcPr>
            <w:tcW w:w="1134" w:type="dxa"/>
            <w:vAlign w:val="bottom"/>
          </w:tcPr>
          <w:p w:rsidR="004F50E1" w:rsidRPr="00720DC2" w:rsidRDefault="004F50E1" w:rsidP="003B6690">
            <w:pPr>
              <w:jc w:val="center"/>
              <w:rPr>
                <w:sz w:val="24"/>
                <w:szCs w:val="24"/>
                <w:lang w:val="uk-UA"/>
              </w:rPr>
            </w:pPr>
            <w:r w:rsidRPr="00720DC2">
              <w:rPr>
                <w:sz w:val="24"/>
                <w:szCs w:val="24"/>
                <w:lang w:val="uk-UA"/>
              </w:rPr>
              <w:t>0,34</w:t>
            </w:r>
          </w:p>
        </w:tc>
        <w:tc>
          <w:tcPr>
            <w:tcW w:w="1098" w:type="dxa"/>
            <w:vAlign w:val="bottom"/>
          </w:tcPr>
          <w:p w:rsidR="004F50E1" w:rsidRPr="00720DC2" w:rsidRDefault="004F50E1" w:rsidP="003B6690">
            <w:pPr>
              <w:jc w:val="center"/>
              <w:rPr>
                <w:sz w:val="24"/>
                <w:szCs w:val="24"/>
                <w:lang w:val="uk-UA"/>
              </w:rPr>
            </w:pPr>
            <w:r w:rsidRPr="00720DC2">
              <w:rPr>
                <w:sz w:val="24"/>
                <w:szCs w:val="24"/>
                <w:lang w:val="uk-UA"/>
              </w:rPr>
              <w:t>-</w:t>
            </w:r>
          </w:p>
        </w:tc>
      </w:tr>
      <w:tr w:rsidR="004F50E1" w:rsidRPr="00720DC2" w:rsidTr="003B6690">
        <w:tc>
          <w:tcPr>
            <w:tcW w:w="5805" w:type="dxa"/>
          </w:tcPr>
          <w:p w:rsidR="004F50E1" w:rsidRPr="00720DC2" w:rsidRDefault="004F50E1" w:rsidP="003B6690">
            <w:pPr>
              <w:rPr>
                <w:sz w:val="24"/>
                <w:szCs w:val="24"/>
                <w:lang w:val="uk-UA"/>
              </w:rPr>
            </w:pPr>
            <w:r w:rsidRPr="00720DC2">
              <w:rPr>
                <w:sz w:val="24"/>
                <w:szCs w:val="24"/>
                <w:lang w:val="uk-UA"/>
              </w:rPr>
              <w:t>Кількість діючих централізованих котелень</w:t>
            </w:r>
          </w:p>
        </w:tc>
        <w:tc>
          <w:tcPr>
            <w:tcW w:w="1141" w:type="dxa"/>
            <w:vAlign w:val="bottom"/>
          </w:tcPr>
          <w:p w:rsidR="004F50E1" w:rsidRPr="00720DC2" w:rsidRDefault="004F50E1" w:rsidP="003B6690">
            <w:pPr>
              <w:jc w:val="center"/>
              <w:rPr>
                <w:sz w:val="24"/>
                <w:szCs w:val="24"/>
                <w:lang w:val="uk-UA"/>
              </w:rPr>
            </w:pPr>
            <w:r w:rsidRPr="00720DC2">
              <w:rPr>
                <w:sz w:val="24"/>
                <w:szCs w:val="24"/>
                <w:lang w:val="uk-UA"/>
              </w:rPr>
              <w:t>одиниць</w:t>
            </w:r>
          </w:p>
        </w:tc>
        <w:tc>
          <w:tcPr>
            <w:tcW w:w="1134" w:type="dxa"/>
            <w:vAlign w:val="bottom"/>
          </w:tcPr>
          <w:p w:rsidR="004F50E1" w:rsidRPr="00720DC2" w:rsidRDefault="004F50E1" w:rsidP="003B6690">
            <w:pPr>
              <w:jc w:val="center"/>
              <w:rPr>
                <w:sz w:val="24"/>
                <w:szCs w:val="24"/>
                <w:lang w:val="uk-UA"/>
              </w:rPr>
            </w:pPr>
            <w:r w:rsidRPr="00720DC2">
              <w:rPr>
                <w:sz w:val="24"/>
                <w:szCs w:val="24"/>
                <w:lang w:val="uk-UA"/>
              </w:rPr>
              <w:t>30</w:t>
            </w:r>
          </w:p>
        </w:tc>
        <w:tc>
          <w:tcPr>
            <w:tcW w:w="1098" w:type="dxa"/>
            <w:vAlign w:val="bottom"/>
          </w:tcPr>
          <w:p w:rsidR="004F50E1" w:rsidRPr="00720DC2" w:rsidRDefault="004F50E1" w:rsidP="003B6690">
            <w:pPr>
              <w:jc w:val="center"/>
              <w:rPr>
                <w:sz w:val="24"/>
                <w:szCs w:val="24"/>
                <w:lang w:val="uk-UA"/>
              </w:rPr>
            </w:pPr>
            <w:r w:rsidRPr="00720DC2">
              <w:rPr>
                <w:sz w:val="24"/>
                <w:szCs w:val="24"/>
                <w:lang w:val="uk-UA"/>
              </w:rPr>
              <w:t>31</w:t>
            </w:r>
          </w:p>
        </w:tc>
      </w:tr>
      <w:tr w:rsidR="004F50E1" w:rsidRPr="00720DC2" w:rsidTr="003B6690">
        <w:tc>
          <w:tcPr>
            <w:tcW w:w="5805" w:type="dxa"/>
          </w:tcPr>
          <w:p w:rsidR="004F50E1" w:rsidRPr="00720DC2" w:rsidRDefault="004F50E1" w:rsidP="003B6690">
            <w:pPr>
              <w:rPr>
                <w:sz w:val="24"/>
                <w:szCs w:val="24"/>
                <w:lang w:val="uk-UA"/>
              </w:rPr>
            </w:pPr>
            <w:r w:rsidRPr="00720DC2">
              <w:rPr>
                <w:sz w:val="24"/>
                <w:szCs w:val="24"/>
                <w:lang w:val="uk-UA"/>
              </w:rPr>
              <w:t>Кількість котелень на газоподібному паливі</w:t>
            </w:r>
          </w:p>
        </w:tc>
        <w:tc>
          <w:tcPr>
            <w:tcW w:w="1141" w:type="dxa"/>
            <w:vAlign w:val="bottom"/>
          </w:tcPr>
          <w:p w:rsidR="004F50E1" w:rsidRPr="00720DC2" w:rsidRDefault="004F50E1" w:rsidP="003B6690">
            <w:pPr>
              <w:jc w:val="center"/>
              <w:rPr>
                <w:sz w:val="24"/>
                <w:szCs w:val="24"/>
                <w:lang w:val="uk-UA"/>
              </w:rPr>
            </w:pPr>
            <w:r w:rsidRPr="00720DC2">
              <w:rPr>
                <w:sz w:val="24"/>
                <w:szCs w:val="24"/>
                <w:lang w:val="uk-UA"/>
              </w:rPr>
              <w:t>одиниць</w:t>
            </w:r>
          </w:p>
        </w:tc>
        <w:tc>
          <w:tcPr>
            <w:tcW w:w="1134" w:type="dxa"/>
            <w:vAlign w:val="bottom"/>
          </w:tcPr>
          <w:p w:rsidR="004F50E1" w:rsidRPr="00720DC2" w:rsidRDefault="004F50E1" w:rsidP="003B6690">
            <w:pPr>
              <w:jc w:val="center"/>
              <w:rPr>
                <w:sz w:val="24"/>
                <w:szCs w:val="24"/>
                <w:lang w:val="uk-UA"/>
              </w:rPr>
            </w:pPr>
            <w:r w:rsidRPr="00720DC2">
              <w:rPr>
                <w:sz w:val="24"/>
                <w:szCs w:val="24"/>
                <w:lang w:val="uk-UA"/>
              </w:rPr>
              <w:t>30</w:t>
            </w:r>
          </w:p>
        </w:tc>
        <w:tc>
          <w:tcPr>
            <w:tcW w:w="1098" w:type="dxa"/>
            <w:vAlign w:val="bottom"/>
          </w:tcPr>
          <w:p w:rsidR="004F50E1" w:rsidRPr="00720DC2" w:rsidRDefault="004F50E1" w:rsidP="003B6690">
            <w:pPr>
              <w:jc w:val="center"/>
              <w:rPr>
                <w:sz w:val="24"/>
                <w:szCs w:val="24"/>
                <w:lang w:val="uk-UA"/>
              </w:rPr>
            </w:pPr>
            <w:r w:rsidRPr="00720DC2">
              <w:rPr>
                <w:sz w:val="24"/>
                <w:szCs w:val="24"/>
                <w:lang w:val="uk-UA"/>
              </w:rPr>
              <w:t>31</w:t>
            </w:r>
          </w:p>
        </w:tc>
      </w:tr>
      <w:tr w:rsidR="004F50E1" w:rsidRPr="00720DC2" w:rsidTr="003B6690">
        <w:tc>
          <w:tcPr>
            <w:tcW w:w="5805" w:type="dxa"/>
          </w:tcPr>
          <w:p w:rsidR="004F50E1" w:rsidRPr="00720DC2" w:rsidRDefault="004F50E1" w:rsidP="003B6690">
            <w:pPr>
              <w:rPr>
                <w:sz w:val="24"/>
                <w:szCs w:val="24"/>
                <w:lang w:val="uk-UA"/>
              </w:rPr>
            </w:pPr>
            <w:r w:rsidRPr="00720DC2">
              <w:rPr>
                <w:sz w:val="24"/>
                <w:szCs w:val="24"/>
                <w:lang w:val="uk-UA"/>
              </w:rPr>
              <w:t>Кількість котелень на інших видах палива</w:t>
            </w:r>
          </w:p>
        </w:tc>
        <w:tc>
          <w:tcPr>
            <w:tcW w:w="1141" w:type="dxa"/>
            <w:vAlign w:val="bottom"/>
          </w:tcPr>
          <w:p w:rsidR="004F50E1" w:rsidRPr="00720DC2" w:rsidRDefault="004F50E1" w:rsidP="003B6690">
            <w:pPr>
              <w:jc w:val="center"/>
              <w:rPr>
                <w:sz w:val="24"/>
                <w:szCs w:val="24"/>
                <w:lang w:val="uk-UA"/>
              </w:rPr>
            </w:pPr>
            <w:r w:rsidRPr="00720DC2">
              <w:rPr>
                <w:sz w:val="24"/>
                <w:szCs w:val="24"/>
                <w:lang w:val="uk-UA"/>
              </w:rPr>
              <w:t>одиниць</w:t>
            </w:r>
          </w:p>
        </w:tc>
        <w:tc>
          <w:tcPr>
            <w:tcW w:w="1134" w:type="dxa"/>
            <w:vAlign w:val="bottom"/>
          </w:tcPr>
          <w:p w:rsidR="004F50E1" w:rsidRPr="00720DC2" w:rsidRDefault="004F50E1" w:rsidP="003B6690">
            <w:pPr>
              <w:jc w:val="center"/>
              <w:rPr>
                <w:sz w:val="24"/>
                <w:szCs w:val="24"/>
                <w:lang w:val="uk-UA"/>
              </w:rPr>
            </w:pPr>
            <w:r w:rsidRPr="00720DC2">
              <w:rPr>
                <w:sz w:val="24"/>
                <w:szCs w:val="24"/>
                <w:lang w:val="uk-UA"/>
              </w:rPr>
              <w:t>6</w:t>
            </w:r>
          </w:p>
        </w:tc>
        <w:tc>
          <w:tcPr>
            <w:tcW w:w="1098" w:type="dxa"/>
            <w:vAlign w:val="bottom"/>
          </w:tcPr>
          <w:p w:rsidR="004F50E1" w:rsidRPr="00720DC2" w:rsidRDefault="004F50E1" w:rsidP="003B6690">
            <w:pPr>
              <w:jc w:val="center"/>
              <w:rPr>
                <w:sz w:val="24"/>
                <w:szCs w:val="24"/>
                <w:lang w:val="uk-UA"/>
              </w:rPr>
            </w:pPr>
            <w:r w:rsidRPr="00720DC2">
              <w:rPr>
                <w:sz w:val="24"/>
                <w:szCs w:val="24"/>
                <w:lang w:val="uk-UA"/>
              </w:rPr>
              <w:t>7</w:t>
            </w:r>
          </w:p>
        </w:tc>
      </w:tr>
      <w:tr w:rsidR="004F50E1" w:rsidRPr="00720DC2" w:rsidTr="003B6690">
        <w:tc>
          <w:tcPr>
            <w:tcW w:w="5805" w:type="dxa"/>
          </w:tcPr>
          <w:p w:rsidR="004F50E1" w:rsidRPr="00720DC2" w:rsidRDefault="004F50E1" w:rsidP="003B6690">
            <w:pPr>
              <w:rPr>
                <w:sz w:val="24"/>
                <w:szCs w:val="24"/>
                <w:lang w:val="uk-UA"/>
              </w:rPr>
            </w:pPr>
            <w:r w:rsidRPr="00720DC2">
              <w:rPr>
                <w:sz w:val="24"/>
                <w:szCs w:val="24"/>
                <w:lang w:val="uk-UA"/>
              </w:rPr>
              <w:t>Модернізація та капітальний ремонт котелень та ЦТП</w:t>
            </w:r>
          </w:p>
        </w:tc>
        <w:tc>
          <w:tcPr>
            <w:tcW w:w="1141" w:type="dxa"/>
            <w:vAlign w:val="bottom"/>
          </w:tcPr>
          <w:p w:rsidR="004F50E1" w:rsidRPr="00720DC2" w:rsidRDefault="004F50E1" w:rsidP="003B6690">
            <w:pPr>
              <w:jc w:val="center"/>
              <w:rPr>
                <w:sz w:val="24"/>
                <w:szCs w:val="24"/>
                <w:lang w:val="uk-UA"/>
              </w:rPr>
            </w:pPr>
            <w:r w:rsidRPr="00720DC2">
              <w:rPr>
                <w:sz w:val="24"/>
                <w:szCs w:val="24"/>
                <w:lang w:val="uk-UA"/>
              </w:rPr>
              <w:t>одиниць</w:t>
            </w:r>
          </w:p>
        </w:tc>
        <w:tc>
          <w:tcPr>
            <w:tcW w:w="1134" w:type="dxa"/>
            <w:vAlign w:val="bottom"/>
          </w:tcPr>
          <w:p w:rsidR="004F50E1" w:rsidRPr="00720DC2" w:rsidRDefault="004F50E1" w:rsidP="003B6690">
            <w:pPr>
              <w:jc w:val="center"/>
              <w:rPr>
                <w:sz w:val="24"/>
                <w:szCs w:val="24"/>
                <w:lang w:val="uk-UA"/>
              </w:rPr>
            </w:pPr>
            <w:r w:rsidRPr="00720DC2">
              <w:rPr>
                <w:sz w:val="24"/>
                <w:szCs w:val="24"/>
                <w:lang w:val="uk-UA"/>
              </w:rPr>
              <w:t>2</w:t>
            </w:r>
          </w:p>
        </w:tc>
        <w:tc>
          <w:tcPr>
            <w:tcW w:w="1098" w:type="dxa"/>
            <w:vAlign w:val="bottom"/>
          </w:tcPr>
          <w:p w:rsidR="004F50E1" w:rsidRPr="00720DC2" w:rsidRDefault="004F50E1" w:rsidP="003B6690">
            <w:pPr>
              <w:jc w:val="center"/>
              <w:rPr>
                <w:sz w:val="24"/>
                <w:szCs w:val="24"/>
                <w:lang w:val="uk-UA"/>
              </w:rPr>
            </w:pPr>
            <w:r w:rsidRPr="00720DC2">
              <w:rPr>
                <w:sz w:val="24"/>
                <w:szCs w:val="24"/>
                <w:lang w:val="uk-UA"/>
              </w:rPr>
              <w:t>1</w:t>
            </w:r>
          </w:p>
        </w:tc>
      </w:tr>
    </w:tbl>
    <w:p w:rsidR="00183E22" w:rsidRPr="00720DC2" w:rsidRDefault="00183E22" w:rsidP="00183E22">
      <w:pPr>
        <w:tabs>
          <w:tab w:val="left" w:pos="400"/>
        </w:tabs>
        <w:ind w:firstLine="709"/>
        <w:jc w:val="both"/>
        <w:rPr>
          <w:color w:val="000000"/>
          <w:highlight w:val="yellow"/>
          <w:lang w:val="uk-UA"/>
        </w:rPr>
      </w:pPr>
    </w:p>
    <w:p w:rsidR="00183E22" w:rsidRPr="00720DC2" w:rsidRDefault="00183E22" w:rsidP="00183E22">
      <w:pPr>
        <w:pStyle w:val="af1"/>
        <w:numPr>
          <w:ilvl w:val="0"/>
          <w:numId w:val="2"/>
        </w:numPr>
        <w:jc w:val="both"/>
        <w:outlineLvl w:val="0"/>
        <w:rPr>
          <w:b/>
          <w:i/>
          <w:sz w:val="28"/>
          <w:szCs w:val="28"/>
          <w:lang w:val="uk-UA"/>
        </w:rPr>
      </w:pPr>
      <w:r w:rsidRPr="00720DC2">
        <w:rPr>
          <w:b/>
          <w:i/>
          <w:sz w:val="28"/>
          <w:szCs w:val="28"/>
          <w:lang w:val="uk-UA"/>
        </w:rPr>
        <w:t>Забезпечення умов для соціально-економічного зростання</w:t>
      </w:r>
    </w:p>
    <w:p w:rsidR="00B74475" w:rsidRPr="00720DC2" w:rsidRDefault="00B74475" w:rsidP="00B74475">
      <w:pPr>
        <w:pStyle w:val="af1"/>
        <w:ind w:left="1065"/>
        <w:jc w:val="both"/>
        <w:outlineLvl w:val="0"/>
        <w:rPr>
          <w:b/>
          <w:i/>
          <w:sz w:val="28"/>
          <w:szCs w:val="28"/>
          <w:lang w:val="uk-UA"/>
        </w:rPr>
      </w:pPr>
    </w:p>
    <w:p w:rsidR="00183E22" w:rsidRPr="00720DC2" w:rsidRDefault="00183E22" w:rsidP="00183E22">
      <w:pPr>
        <w:ind w:firstLine="700"/>
        <w:jc w:val="both"/>
        <w:outlineLvl w:val="0"/>
        <w:rPr>
          <w:i/>
          <w:lang w:val="uk-UA"/>
        </w:rPr>
      </w:pPr>
      <w:r w:rsidRPr="00720DC2">
        <w:rPr>
          <w:i/>
          <w:lang w:val="uk-UA"/>
        </w:rPr>
        <w:t>3.1 Інвестиційна політика,  зовнішньоекономічна діяльність</w:t>
      </w:r>
    </w:p>
    <w:p w:rsidR="00183E22" w:rsidRPr="00720DC2" w:rsidRDefault="00183E22" w:rsidP="00183E22">
      <w:pPr>
        <w:ind w:firstLine="708"/>
        <w:jc w:val="both"/>
        <w:rPr>
          <w:lang w:val="uk-UA"/>
        </w:rPr>
      </w:pPr>
      <w:r w:rsidRPr="00720DC2">
        <w:rPr>
          <w:lang w:val="uk-UA"/>
        </w:rPr>
        <w:t xml:space="preserve">Обсяг залучених з початку інвестування прямих інвестицій (акціонерного капіталу) в економіку обласного центру на 1 </w:t>
      </w:r>
      <w:r w:rsidR="00387AFB" w:rsidRPr="00720DC2">
        <w:rPr>
          <w:lang w:val="uk-UA"/>
        </w:rPr>
        <w:t>жовт</w:t>
      </w:r>
      <w:r w:rsidRPr="00720DC2">
        <w:rPr>
          <w:lang w:val="uk-UA"/>
        </w:rPr>
        <w:t>ня 2018р. cтановить 49</w:t>
      </w:r>
      <w:r w:rsidR="00387AFB" w:rsidRPr="00720DC2">
        <w:rPr>
          <w:lang w:val="uk-UA"/>
        </w:rPr>
        <w:t>4,7</w:t>
      </w:r>
      <w:r w:rsidR="004E34F2" w:rsidRPr="00720DC2">
        <w:rPr>
          <w:lang w:val="uk-UA"/>
        </w:rPr>
        <w:t xml:space="preserve"> </w:t>
      </w:r>
      <w:r w:rsidRPr="00720DC2">
        <w:rPr>
          <w:lang w:val="uk-UA"/>
        </w:rPr>
        <w:t>млн</w:t>
      </w:r>
      <w:r w:rsidR="004E34F2" w:rsidRPr="00720DC2">
        <w:rPr>
          <w:lang w:val="uk-UA"/>
        </w:rPr>
        <w:t xml:space="preserve"> </w:t>
      </w:r>
      <w:r w:rsidRPr="00720DC2">
        <w:rPr>
          <w:lang w:val="uk-UA"/>
        </w:rPr>
        <w:t>дол. США.</w:t>
      </w:r>
    </w:p>
    <w:p w:rsidR="001D2B22" w:rsidRPr="00720DC2" w:rsidRDefault="001D2B22" w:rsidP="00183E22">
      <w:pPr>
        <w:ind w:firstLine="708"/>
        <w:jc w:val="both"/>
        <w:rPr>
          <w:lang w:val="uk-UA"/>
        </w:rPr>
      </w:pPr>
    </w:p>
    <w:p w:rsidR="00387AFB" w:rsidRPr="00720DC2" w:rsidRDefault="00387AFB" w:rsidP="00387AFB">
      <w:pPr>
        <w:jc w:val="both"/>
        <w:rPr>
          <w:highlight w:val="yellow"/>
          <w:lang w:val="uk-UA"/>
        </w:rPr>
      </w:pPr>
      <w:r w:rsidRPr="00720DC2">
        <w:rPr>
          <w:noProof/>
          <w:lang w:val="uk-UA" w:eastAsia="uk-UA"/>
        </w:rPr>
        <w:lastRenderedPageBreak/>
        <w:drawing>
          <wp:inline distT="0" distB="0" distL="0" distR="0" wp14:anchorId="3FA9A36A" wp14:editId="69EEDD17">
            <wp:extent cx="5937160" cy="2453425"/>
            <wp:effectExtent l="0" t="0" r="6985" b="4445"/>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3E22" w:rsidRPr="00720DC2" w:rsidRDefault="00183E22" w:rsidP="00183E22">
      <w:pPr>
        <w:ind w:firstLine="708"/>
        <w:jc w:val="both"/>
        <w:rPr>
          <w:lang w:val="uk-UA"/>
        </w:rPr>
      </w:pPr>
      <w:r w:rsidRPr="00720DC2">
        <w:rPr>
          <w:lang w:val="uk-UA"/>
        </w:rPr>
        <w:t xml:space="preserve">У розрахунку на одну особу залучено прямих інвестицій </w:t>
      </w:r>
      <w:r w:rsidR="000E4C1C">
        <w:rPr>
          <w:lang w:val="uk-UA"/>
        </w:rPr>
        <w:t>1918</w:t>
      </w:r>
      <w:r w:rsidRPr="00720DC2">
        <w:rPr>
          <w:lang w:val="uk-UA"/>
        </w:rPr>
        <w:t xml:space="preserve"> дол. США і </w:t>
      </w:r>
      <w:r w:rsidR="004B5337">
        <w:rPr>
          <w:lang w:val="uk-UA"/>
        </w:rPr>
        <w:t>Івано-Франківськ</w:t>
      </w:r>
      <w:r w:rsidRPr="00720DC2">
        <w:rPr>
          <w:lang w:val="uk-UA"/>
        </w:rPr>
        <w:t xml:space="preserve"> посі</w:t>
      </w:r>
      <w:r w:rsidR="004B5337">
        <w:rPr>
          <w:lang w:val="uk-UA"/>
        </w:rPr>
        <w:t>в</w:t>
      </w:r>
      <w:r w:rsidRPr="00720DC2">
        <w:rPr>
          <w:lang w:val="uk-UA"/>
        </w:rPr>
        <w:t xml:space="preserve"> друге місце (після м.Києва) серед обласних центрів України.</w:t>
      </w:r>
    </w:p>
    <w:p w:rsidR="00AE1349" w:rsidRDefault="00FD1FED" w:rsidP="00307B0A">
      <w:pPr>
        <w:ind w:firstLine="708"/>
        <w:jc w:val="both"/>
        <w:rPr>
          <w:lang w:val="uk-UA"/>
        </w:rPr>
      </w:pPr>
      <w:r>
        <w:rPr>
          <w:noProof/>
          <w:lang w:val="uk-UA" w:eastAsia="uk-UA"/>
        </w:rPr>
        <w:drawing>
          <wp:anchor distT="0" distB="0" distL="114300" distR="114300" simplePos="0" relativeHeight="251672576" behindDoc="0" locked="0" layoutInCell="1" allowOverlap="1">
            <wp:simplePos x="0" y="0"/>
            <wp:positionH relativeFrom="column">
              <wp:posOffset>-523875</wp:posOffset>
            </wp:positionH>
            <wp:positionV relativeFrom="paragraph">
              <wp:posOffset>-146685</wp:posOffset>
            </wp:positionV>
            <wp:extent cx="6434455" cy="2162810"/>
            <wp:effectExtent l="0" t="0" r="4445" b="889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83E22" w:rsidRPr="00720DC2" w:rsidRDefault="00183E22" w:rsidP="00307B0A">
      <w:pPr>
        <w:ind w:firstLine="708"/>
        <w:jc w:val="both"/>
        <w:rPr>
          <w:lang w:val="uk-UA"/>
        </w:rPr>
      </w:pPr>
      <w:r w:rsidRPr="00720DC2">
        <w:rPr>
          <w:lang w:val="uk-UA"/>
        </w:rPr>
        <w:t xml:space="preserve">На 1 </w:t>
      </w:r>
      <w:r w:rsidR="00387AFB" w:rsidRPr="00720DC2">
        <w:rPr>
          <w:lang w:val="uk-UA"/>
        </w:rPr>
        <w:t>жовт</w:t>
      </w:r>
      <w:r w:rsidRPr="00720DC2">
        <w:rPr>
          <w:lang w:val="uk-UA"/>
        </w:rPr>
        <w:t xml:space="preserve">ня 2018р. з країн ЄС з початку інвестування внесено </w:t>
      </w:r>
      <w:r w:rsidR="00387AFB" w:rsidRPr="00720DC2">
        <w:rPr>
          <w:lang w:val="uk-UA"/>
        </w:rPr>
        <w:t>477,9</w:t>
      </w:r>
      <w:r w:rsidRPr="00720DC2">
        <w:rPr>
          <w:lang w:val="uk-UA"/>
        </w:rPr>
        <w:t xml:space="preserve"> млн</w:t>
      </w:r>
      <w:r w:rsidR="003937E6" w:rsidRPr="00720DC2">
        <w:rPr>
          <w:lang w:val="uk-UA"/>
        </w:rPr>
        <w:t xml:space="preserve"> </w:t>
      </w:r>
      <w:r w:rsidRPr="00720DC2">
        <w:rPr>
          <w:lang w:val="uk-UA"/>
        </w:rPr>
        <w:t>дол. США інвестицій  (</w:t>
      </w:r>
      <w:r w:rsidR="00387AFB" w:rsidRPr="00720DC2">
        <w:rPr>
          <w:lang w:val="uk-UA"/>
        </w:rPr>
        <w:t>96,6</w:t>
      </w:r>
      <w:r w:rsidRPr="00720DC2">
        <w:rPr>
          <w:lang w:val="uk-UA"/>
        </w:rPr>
        <w:t xml:space="preserve">% загального  обсягу акціонерного капіталу), з інших країн світу – </w:t>
      </w:r>
      <w:r w:rsidR="00387AFB" w:rsidRPr="00720DC2">
        <w:rPr>
          <w:lang w:val="uk-UA"/>
        </w:rPr>
        <w:t>16,8</w:t>
      </w:r>
      <w:r w:rsidRPr="00720DC2">
        <w:rPr>
          <w:lang w:val="uk-UA"/>
        </w:rPr>
        <w:t xml:space="preserve"> млн</w:t>
      </w:r>
      <w:r w:rsidR="003937E6" w:rsidRPr="00720DC2">
        <w:rPr>
          <w:lang w:val="uk-UA"/>
        </w:rPr>
        <w:t xml:space="preserve"> </w:t>
      </w:r>
      <w:r w:rsidRPr="00720DC2">
        <w:rPr>
          <w:lang w:val="uk-UA"/>
        </w:rPr>
        <w:t>дол. (</w:t>
      </w:r>
      <w:r w:rsidR="00387AFB" w:rsidRPr="00720DC2">
        <w:rPr>
          <w:lang w:val="uk-UA"/>
        </w:rPr>
        <w:t>3,4</w:t>
      </w:r>
      <w:r w:rsidRPr="00720DC2">
        <w:rPr>
          <w:lang w:val="uk-UA"/>
        </w:rPr>
        <w:t>%). Інвесторами виступили 42 країни світу.</w:t>
      </w:r>
    </w:p>
    <w:p w:rsidR="00183E22" w:rsidRPr="00720DC2" w:rsidRDefault="00183E22" w:rsidP="00183E22">
      <w:pPr>
        <w:tabs>
          <w:tab w:val="left" w:pos="8080"/>
        </w:tabs>
        <w:ind w:firstLine="720"/>
        <w:jc w:val="both"/>
        <w:rPr>
          <w:lang w:val="uk-UA"/>
        </w:rPr>
      </w:pPr>
      <w:r w:rsidRPr="00720DC2">
        <w:rPr>
          <w:lang w:val="uk-UA"/>
        </w:rPr>
        <w:t xml:space="preserve">На підприємствах промисловості зосереджено </w:t>
      </w:r>
      <w:r w:rsidR="00387AFB" w:rsidRPr="00720DC2">
        <w:rPr>
          <w:lang w:val="uk-UA"/>
        </w:rPr>
        <w:t>346</w:t>
      </w:r>
      <w:r w:rsidR="0020502A" w:rsidRPr="00720DC2">
        <w:rPr>
          <w:lang w:val="uk-UA"/>
        </w:rPr>
        <w:t xml:space="preserve"> млн </w:t>
      </w:r>
      <w:r w:rsidRPr="00720DC2">
        <w:rPr>
          <w:lang w:val="uk-UA"/>
        </w:rPr>
        <w:t>дол. США прямих  інвестицій (</w:t>
      </w:r>
      <w:r w:rsidR="00387AFB" w:rsidRPr="00720DC2">
        <w:rPr>
          <w:lang w:val="uk-UA"/>
        </w:rPr>
        <w:t>69,9</w:t>
      </w:r>
      <w:r w:rsidRPr="00720DC2">
        <w:rPr>
          <w:lang w:val="uk-UA"/>
        </w:rPr>
        <w:t>% загального  обсягу  акціонерного  капіталу), з  них на підприємствах переробної галузі – 34</w:t>
      </w:r>
      <w:r w:rsidR="00387AFB" w:rsidRPr="00720DC2">
        <w:rPr>
          <w:lang w:val="uk-UA"/>
        </w:rPr>
        <w:t>3</w:t>
      </w:r>
      <w:r w:rsidRPr="00720DC2">
        <w:rPr>
          <w:lang w:val="uk-UA"/>
        </w:rPr>
        <w:t>,8  млн</w:t>
      </w:r>
      <w:r w:rsidR="003937E6" w:rsidRPr="00720DC2">
        <w:rPr>
          <w:lang w:val="uk-UA"/>
        </w:rPr>
        <w:t xml:space="preserve"> </w:t>
      </w:r>
      <w:r w:rsidRPr="00720DC2">
        <w:rPr>
          <w:lang w:val="uk-UA"/>
        </w:rPr>
        <w:t xml:space="preserve">дол. (70%). </w:t>
      </w:r>
    </w:p>
    <w:p w:rsidR="00183E22" w:rsidRPr="00720DC2" w:rsidRDefault="00183E22" w:rsidP="00183E22">
      <w:pPr>
        <w:ind w:firstLine="720"/>
        <w:jc w:val="both"/>
        <w:rPr>
          <w:lang w:val="uk-UA"/>
        </w:rPr>
      </w:pPr>
      <w:r w:rsidRPr="00720DC2">
        <w:rPr>
          <w:lang w:val="uk-UA"/>
        </w:rPr>
        <w:t>У підприємства оптової та роздрібної торгівлі, ремонту автотранспортних засобів і мотоциклів залучено 107</w:t>
      </w:r>
      <w:r w:rsidR="00387AFB" w:rsidRPr="00720DC2">
        <w:rPr>
          <w:lang w:val="uk-UA"/>
        </w:rPr>
        <w:t xml:space="preserve"> млн</w:t>
      </w:r>
      <w:r w:rsidR="003937E6" w:rsidRPr="00720DC2">
        <w:rPr>
          <w:lang w:val="uk-UA"/>
        </w:rPr>
        <w:t xml:space="preserve"> </w:t>
      </w:r>
      <w:r w:rsidR="00387AFB" w:rsidRPr="00720DC2">
        <w:rPr>
          <w:lang w:val="uk-UA"/>
        </w:rPr>
        <w:t>дол. США (21,6</w:t>
      </w:r>
      <w:r w:rsidRPr="00720DC2">
        <w:rPr>
          <w:lang w:val="uk-UA"/>
        </w:rPr>
        <w:t>% загального обсягу), будівельної діяльності – 21,</w:t>
      </w:r>
      <w:r w:rsidR="00387AFB" w:rsidRPr="00720DC2">
        <w:rPr>
          <w:lang w:val="uk-UA"/>
        </w:rPr>
        <w:t>2</w:t>
      </w:r>
      <w:r w:rsidRPr="00720DC2">
        <w:rPr>
          <w:lang w:val="uk-UA"/>
        </w:rPr>
        <w:t xml:space="preserve"> млн</w:t>
      </w:r>
      <w:r w:rsidR="003937E6" w:rsidRPr="00720DC2">
        <w:rPr>
          <w:lang w:val="uk-UA"/>
        </w:rPr>
        <w:t xml:space="preserve"> </w:t>
      </w:r>
      <w:r w:rsidRPr="00720DC2">
        <w:rPr>
          <w:lang w:val="uk-UA"/>
        </w:rPr>
        <w:t xml:space="preserve">дол. (4,3%), в організації, що здійснюють операції з нерухомим майном – </w:t>
      </w:r>
      <w:r w:rsidR="00387AFB" w:rsidRPr="00720DC2">
        <w:rPr>
          <w:lang w:val="uk-UA"/>
        </w:rPr>
        <w:t>9,6</w:t>
      </w:r>
      <w:r w:rsidRPr="00720DC2">
        <w:rPr>
          <w:lang w:val="uk-UA"/>
        </w:rPr>
        <w:t xml:space="preserve"> млн</w:t>
      </w:r>
      <w:r w:rsidR="003937E6" w:rsidRPr="00720DC2">
        <w:rPr>
          <w:lang w:val="uk-UA"/>
        </w:rPr>
        <w:t xml:space="preserve"> </w:t>
      </w:r>
      <w:r w:rsidRPr="00720DC2">
        <w:rPr>
          <w:lang w:val="uk-UA"/>
        </w:rPr>
        <w:t>дол. США (1,</w:t>
      </w:r>
      <w:r w:rsidR="00387AFB" w:rsidRPr="00720DC2">
        <w:rPr>
          <w:lang w:val="uk-UA"/>
        </w:rPr>
        <w:t>9</w:t>
      </w:r>
      <w:r w:rsidRPr="00720DC2">
        <w:rPr>
          <w:lang w:val="uk-UA"/>
        </w:rPr>
        <w:t>%).</w:t>
      </w:r>
    </w:p>
    <w:p w:rsidR="008029E4" w:rsidRPr="00720DC2" w:rsidRDefault="008029E4" w:rsidP="008029E4">
      <w:pPr>
        <w:ind w:firstLine="708"/>
        <w:jc w:val="both"/>
        <w:rPr>
          <w:lang w:val="uk-UA"/>
        </w:rPr>
      </w:pPr>
      <w:r w:rsidRPr="00720DC2">
        <w:rPr>
          <w:lang w:val="uk-UA"/>
        </w:rPr>
        <w:t>За 9 місяців 2018 року освоєно (використано) 2061,2 млн грн капітальних інвестицій, в тому числі на одну особу – 8140,5 грн.</w:t>
      </w:r>
    </w:p>
    <w:p w:rsidR="00183E22" w:rsidRPr="00720DC2" w:rsidRDefault="00183E22" w:rsidP="00183E22">
      <w:pPr>
        <w:ind w:firstLine="708"/>
        <w:jc w:val="both"/>
        <w:rPr>
          <w:lang w:val="uk-UA"/>
        </w:rPr>
      </w:pPr>
      <w:r w:rsidRPr="00720DC2">
        <w:rPr>
          <w:lang w:val="uk-UA"/>
        </w:rPr>
        <w:t xml:space="preserve">Підприємства з найбільшими обсягами вкладених інвестицій: ТОВ </w:t>
      </w:r>
      <w:r w:rsidR="00D4778A" w:rsidRPr="00720DC2">
        <w:rPr>
          <w:lang w:val="uk-UA"/>
        </w:rPr>
        <w:t>"</w:t>
      </w:r>
      <w:r w:rsidRPr="00720DC2">
        <w:rPr>
          <w:lang w:val="uk-UA"/>
        </w:rPr>
        <w:t>Імперово Фудз</w:t>
      </w:r>
      <w:r w:rsidR="00D4778A" w:rsidRPr="00720DC2">
        <w:rPr>
          <w:lang w:val="uk-UA"/>
        </w:rPr>
        <w:t>"</w:t>
      </w:r>
      <w:r w:rsidRPr="00720DC2">
        <w:rPr>
          <w:lang w:val="uk-UA"/>
        </w:rPr>
        <w:t xml:space="preserve">, ТОВ </w:t>
      </w:r>
      <w:r w:rsidR="00D4778A" w:rsidRPr="00720DC2">
        <w:rPr>
          <w:lang w:val="uk-UA"/>
        </w:rPr>
        <w:t>"</w:t>
      </w:r>
      <w:r w:rsidRPr="00720DC2">
        <w:rPr>
          <w:lang w:val="uk-UA"/>
        </w:rPr>
        <w:t>Аграрна перспектива</w:t>
      </w:r>
      <w:r w:rsidR="00D4778A" w:rsidRPr="00720DC2">
        <w:rPr>
          <w:lang w:val="uk-UA"/>
        </w:rPr>
        <w:t>"</w:t>
      </w:r>
      <w:r w:rsidRPr="00720DC2">
        <w:rPr>
          <w:lang w:val="uk-UA"/>
        </w:rPr>
        <w:t xml:space="preserve">, ТОВ </w:t>
      </w:r>
      <w:r w:rsidR="00D4778A" w:rsidRPr="00720DC2">
        <w:rPr>
          <w:lang w:val="uk-UA"/>
        </w:rPr>
        <w:t>"</w:t>
      </w:r>
      <w:r w:rsidRPr="00720DC2">
        <w:rPr>
          <w:lang w:val="uk-UA"/>
        </w:rPr>
        <w:t>Європа Транс Агро</w:t>
      </w:r>
      <w:r w:rsidR="00D4778A" w:rsidRPr="00720DC2">
        <w:rPr>
          <w:lang w:val="uk-UA"/>
        </w:rPr>
        <w:t>"</w:t>
      </w:r>
      <w:r w:rsidRPr="00720DC2">
        <w:rPr>
          <w:lang w:val="uk-UA"/>
        </w:rPr>
        <w:t xml:space="preserve">, ТОВ </w:t>
      </w:r>
      <w:r w:rsidR="00D4778A" w:rsidRPr="00720DC2">
        <w:rPr>
          <w:lang w:val="uk-UA"/>
        </w:rPr>
        <w:t>"</w:t>
      </w:r>
      <w:r w:rsidRPr="00720DC2">
        <w:rPr>
          <w:lang w:val="uk-UA"/>
        </w:rPr>
        <w:t>Інвестиційна компанія вертикаль</w:t>
      </w:r>
      <w:r w:rsidR="00D4778A" w:rsidRPr="00720DC2">
        <w:rPr>
          <w:lang w:val="uk-UA"/>
        </w:rPr>
        <w:t>"</w:t>
      </w:r>
      <w:r w:rsidRPr="00720DC2">
        <w:rPr>
          <w:lang w:val="uk-UA"/>
        </w:rPr>
        <w:t>.</w:t>
      </w:r>
    </w:p>
    <w:p w:rsidR="008029E4" w:rsidRPr="00720DC2" w:rsidRDefault="008029E4" w:rsidP="008029E4">
      <w:pPr>
        <w:ind w:firstLine="708"/>
        <w:jc w:val="both"/>
        <w:rPr>
          <w:color w:val="000000" w:themeColor="text1"/>
          <w:lang w:val="uk-UA"/>
        </w:rPr>
      </w:pPr>
      <w:r w:rsidRPr="00720DC2">
        <w:rPr>
          <w:lang w:val="uk-UA"/>
        </w:rPr>
        <w:t xml:space="preserve">Важливим показником для потенційних інвесторів є наявність позитивної кредитної історії міста Івано-Франківська та висновки рейтингового  агентства щодо кредитного рейтингу міста. </w:t>
      </w:r>
      <w:r w:rsidRPr="00720DC2">
        <w:rPr>
          <w:color w:val="000000"/>
          <w:lang w:val="uk-UA"/>
        </w:rPr>
        <w:t xml:space="preserve">На основі </w:t>
      </w:r>
      <w:r w:rsidRPr="00720DC2">
        <w:rPr>
          <w:color w:val="000000"/>
          <w:lang w:val="uk-UA"/>
        </w:rPr>
        <w:lastRenderedPageBreak/>
        <w:t xml:space="preserve">підготовленої інформації рейтинговим </w:t>
      </w:r>
      <w:r w:rsidRPr="00720DC2">
        <w:rPr>
          <w:lang w:val="uk-UA"/>
        </w:rPr>
        <w:t xml:space="preserve">агентством "Кредит-Рейтинг" розроблено Інвестиційний паспорт міста Івано-Франківська, а </w:t>
      </w:r>
      <w:r w:rsidRPr="00720DC2">
        <w:rPr>
          <w:color w:val="000000" w:themeColor="text1"/>
          <w:lang w:val="uk-UA"/>
        </w:rPr>
        <w:t xml:space="preserve">31 серпня 2018 року </w:t>
      </w:r>
      <w:r w:rsidRPr="00720DC2">
        <w:rPr>
          <w:lang w:val="uk-UA"/>
        </w:rPr>
        <w:t xml:space="preserve">прийнято рішення щодо </w:t>
      </w:r>
      <w:r w:rsidRPr="00720DC2">
        <w:rPr>
          <w:color w:val="000000" w:themeColor="text1"/>
          <w:lang w:val="uk-UA"/>
        </w:rPr>
        <w:t xml:space="preserve">підвищення рівня інвестиційної привабливості міста до найвищого "uaINV5". </w:t>
      </w:r>
    </w:p>
    <w:p w:rsidR="008029E4" w:rsidRPr="00720DC2" w:rsidRDefault="008029E4" w:rsidP="008029E4">
      <w:pPr>
        <w:ind w:firstLine="708"/>
        <w:jc w:val="both"/>
        <w:rPr>
          <w:color w:val="000000" w:themeColor="text1"/>
          <w:lang w:val="uk-UA"/>
        </w:rPr>
      </w:pPr>
      <w:r w:rsidRPr="00720DC2">
        <w:rPr>
          <w:color w:val="000000" w:themeColor="text1"/>
          <w:lang w:val="uk-UA"/>
        </w:rPr>
        <w:t>Івано-Франківськ здобув перше місце у рейтингу прозорості інвестиційного сектору 100 найбільших міст України, який проводило Українське представництво міжнародної антикорупційної мережі Transparency International  в рамках програми Transparent cities. </w:t>
      </w:r>
    </w:p>
    <w:p w:rsidR="008029E4" w:rsidRPr="00720DC2" w:rsidRDefault="008029E4" w:rsidP="008029E4">
      <w:pPr>
        <w:ind w:firstLine="708"/>
        <w:jc w:val="both"/>
        <w:rPr>
          <w:lang w:val="uk-UA"/>
        </w:rPr>
      </w:pPr>
      <w:r w:rsidRPr="00720DC2">
        <w:rPr>
          <w:lang w:val="uk-UA"/>
        </w:rPr>
        <w:t xml:space="preserve">28 вересня 2018 року організовано та проведено IV Міжнародний інвестиційно-економічний форум </w:t>
      </w:r>
      <w:r w:rsidR="001F05DA" w:rsidRPr="00720DC2">
        <w:rPr>
          <w:lang w:val="uk-UA"/>
        </w:rPr>
        <w:t>"</w:t>
      </w:r>
      <w:r w:rsidRPr="00720DC2">
        <w:rPr>
          <w:lang w:val="uk-UA"/>
        </w:rPr>
        <w:t>Партнерство і перспектива</w:t>
      </w:r>
      <w:r w:rsidR="001F05DA" w:rsidRPr="00720DC2">
        <w:rPr>
          <w:lang w:val="uk-UA"/>
        </w:rPr>
        <w:t>"</w:t>
      </w:r>
      <w:r w:rsidRPr="00720DC2">
        <w:rPr>
          <w:lang w:val="uk-UA"/>
        </w:rPr>
        <w:t>. На Форумі було продемонстровано економічний та інвестиційний потенціал міста. Даний захід вже став хорошою практикою для налагодження ефективного спілкування між представниками міст-партнерів, іноземних дипломатичних місій в Україні, міжнародних фінансових інституцій, фондів, сфер бізнесу, освіти та культури, очільниками міст та областей.</w:t>
      </w:r>
    </w:p>
    <w:p w:rsidR="008029E4" w:rsidRPr="00720DC2" w:rsidRDefault="008029E4" w:rsidP="00D460A9">
      <w:pPr>
        <w:ind w:firstLine="708"/>
        <w:jc w:val="both"/>
        <w:rPr>
          <w:lang w:val="uk-UA"/>
        </w:rPr>
      </w:pPr>
      <w:r w:rsidRPr="00720DC2">
        <w:rPr>
          <w:lang w:val="uk-UA"/>
        </w:rPr>
        <w:t xml:space="preserve">Впродовж звітного періоду проведено переговори щодо залучення інвестицій в економіку м.Івано-Франківська з </w:t>
      </w:r>
      <w:r w:rsidR="00D460A9" w:rsidRPr="00720DC2">
        <w:rPr>
          <w:lang w:val="uk-UA"/>
        </w:rPr>
        <w:t>16</w:t>
      </w:r>
      <w:r w:rsidRPr="00720DC2">
        <w:rPr>
          <w:lang w:val="uk-UA"/>
        </w:rPr>
        <w:t xml:space="preserve"> компаніями та організаціями</w:t>
      </w:r>
      <w:r w:rsidR="00D460A9" w:rsidRPr="00720DC2">
        <w:rPr>
          <w:lang w:val="uk-UA"/>
        </w:rPr>
        <w:t>, а саме:</w:t>
      </w:r>
      <w:r w:rsidRPr="00720DC2">
        <w:rPr>
          <w:lang w:val="uk-UA"/>
        </w:rPr>
        <w:t xml:space="preserve"> Global BOD Group (Литва), Gracel Business Solution (Румунія), Arvato Bertelsmann CRM Solution (Румунія), CMX Solutions GmbH (Німеччина), Ernst &amp; Young Global Limited (Великобританія), BFi&amp;Jaha Solar Enerji (Туреччина), Mitas Enerji (Туреччина), Power Green Enerji (Туреччина), Getas global Energy Trade Co.Inc. (Туреччина), </w:t>
      </w:r>
      <w:r w:rsidR="00D460A9" w:rsidRPr="00720DC2">
        <w:rPr>
          <w:lang w:val="uk-UA"/>
        </w:rPr>
        <w:t xml:space="preserve">Eser (Туреччина), Marubeni Corporation (Японія), </w:t>
      </w:r>
      <w:r w:rsidRPr="00720DC2">
        <w:rPr>
          <w:lang w:val="uk-UA"/>
        </w:rPr>
        <w:t>Kres</w:t>
      </w:r>
      <w:r w:rsidR="00D460A9" w:rsidRPr="00720DC2">
        <w:rPr>
          <w:lang w:val="uk-UA"/>
        </w:rPr>
        <w:t xml:space="preserve">ton GCG (Україна), </w:t>
      </w:r>
      <w:r w:rsidRPr="00720DC2">
        <w:rPr>
          <w:lang w:val="uk-UA"/>
        </w:rPr>
        <w:t>AuxBridge be</w:t>
      </w:r>
      <w:r w:rsidR="00D460A9" w:rsidRPr="00720DC2">
        <w:rPr>
          <w:lang w:val="uk-UA"/>
        </w:rPr>
        <w:t>tter business partner (Україна), KPMG International (Україна), Ритейлінгов</w:t>
      </w:r>
      <w:r w:rsidR="005C0405">
        <w:rPr>
          <w:lang w:val="uk-UA"/>
        </w:rPr>
        <w:t>ою компанією</w:t>
      </w:r>
      <w:r w:rsidR="00D460A9" w:rsidRPr="00720DC2">
        <w:rPr>
          <w:lang w:val="uk-UA"/>
        </w:rPr>
        <w:t xml:space="preserve"> "Євротек", UkraineInvest (Україна)</w:t>
      </w:r>
      <w:r w:rsidRPr="00720DC2">
        <w:rPr>
          <w:lang w:val="uk-UA"/>
        </w:rPr>
        <w:t>.</w:t>
      </w:r>
    </w:p>
    <w:p w:rsidR="008029E4" w:rsidRPr="00720DC2" w:rsidRDefault="00523CDB" w:rsidP="008029E4">
      <w:pPr>
        <w:ind w:firstLine="708"/>
        <w:jc w:val="both"/>
        <w:rPr>
          <w:lang w:val="uk-UA"/>
        </w:rPr>
      </w:pPr>
      <w:r w:rsidRPr="00720DC2">
        <w:rPr>
          <w:lang w:val="uk-UA"/>
        </w:rPr>
        <w:t>Про</w:t>
      </w:r>
      <w:r w:rsidR="008029E4" w:rsidRPr="00720DC2">
        <w:rPr>
          <w:lang w:val="uk-UA"/>
        </w:rPr>
        <w:t xml:space="preserve"> інвестиційн</w:t>
      </w:r>
      <w:r w:rsidRPr="00720DC2">
        <w:rPr>
          <w:lang w:val="uk-UA"/>
        </w:rPr>
        <w:t>ий</w:t>
      </w:r>
      <w:r w:rsidR="008029E4" w:rsidRPr="00720DC2">
        <w:rPr>
          <w:lang w:val="uk-UA"/>
        </w:rPr>
        <w:t xml:space="preserve"> потенціал міста </w:t>
      </w:r>
      <w:r w:rsidRPr="00720DC2">
        <w:rPr>
          <w:lang w:val="uk-UA"/>
        </w:rPr>
        <w:t>можна дізнатися на</w:t>
      </w:r>
      <w:r w:rsidR="008029E4" w:rsidRPr="00720DC2">
        <w:rPr>
          <w:lang w:val="uk-UA"/>
        </w:rPr>
        <w:t xml:space="preserve"> інвестиційн</w:t>
      </w:r>
      <w:r w:rsidRPr="00720DC2">
        <w:rPr>
          <w:lang w:val="uk-UA"/>
        </w:rPr>
        <w:t>ому</w:t>
      </w:r>
      <w:r w:rsidR="008029E4" w:rsidRPr="00720DC2">
        <w:rPr>
          <w:lang w:val="uk-UA"/>
        </w:rPr>
        <w:t xml:space="preserve"> </w:t>
      </w:r>
      <w:r w:rsidR="00624513">
        <w:rPr>
          <w:lang w:val="en-US"/>
        </w:rPr>
        <w:t>w</w:t>
      </w:r>
      <w:r w:rsidR="008029E4" w:rsidRPr="00720DC2">
        <w:rPr>
          <w:lang w:val="uk-UA"/>
        </w:rPr>
        <w:t>eb-сайт</w:t>
      </w:r>
      <w:r w:rsidR="00624513">
        <w:rPr>
          <w:lang w:val="uk-UA"/>
        </w:rPr>
        <w:t>і</w:t>
      </w:r>
      <w:r w:rsidR="008029E4" w:rsidRPr="00720DC2">
        <w:rPr>
          <w:lang w:val="uk-UA"/>
        </w:rPr>
        <w:t xml:space="preserve"> </w:t>
      </w:r>
      <w:hyperlink r:id="rId14" w:history="1">
        <w:r w:rsidR="008029E4" w:rsidRPr="00720DC2">
          <w:rPr>
            <w:rStyle w:val="aa"/>
            <w:lang w:val="uk-UA"/>
          </w:rPr>
          <w:t>http://invest-if.com/</w:t>
        </w:r>
      </w:hyperlink>
      <w:r w:rsidR="008029E4" w:rsidRPr="00720DC2">
        <w:rPr>
          <w:lang w:val="uk-UA"/>
        </w:rPr>
        <w:t xml:space="preserve"> , на якому розміщена вся наявна інформація про індустріальний сектор, експортні поставки, перелік вільних земельних ділянок та  виробничих площ, а також зазначені успішно реалізовані start-up проекти. </w:t>
      </w:r>
    </w:p>
    <w:p w:rsidR="008029E4" w:rsidRPr="00720DC2" w:rsidRDefault="008029E4" w:rsidP="00183E22">
      <w:pPr>
        <w:ind w:firstLine="708"/>
        <w:jc w:val="both"/>
        <w:rPr>
          <w:rFonts w:cs="Times New Roman"/>
          <w:lang w:val="uk-UA"/>
        </w:rPr>
      </w:pPr>
      <w:r w:rsidRPr="00720DC2">
        <w:rPr>
          <w:rFonts w:cs="Times New Roman"/>
          <w:lang w:val="uk-UA"/>
        </w:rPr>
        <w:t>З метою підготовки фахівців ІТ середовища у сфері передових технологій організовано та проведено воркшоп з інноваційних цифрових технологій Data Science.</w:t>
      </w:r>
    </w:p>
    <w:p w:rsidR="008029E4" w:rsidRPr="00720DC2" w:rsidRDefault="00523CDB" w:rsidP="00183E22">
      <w:pPr>
        <w:ind w:firstLine="708"/>
        <w:jc w:val="both"/>
        <w:rPr>
          <w:lang w:val="uk-UA"/>
        </w:rPr>
      </w:pPr>
      <w:r w:rsidRPr="00720DC2">
        <w:rPr>
          <w:rFonts w:cs="Times New Roman"/>
          <w:lang w:val="uk-UA"/>
        </w:rPr>
        <w:t xml:space="preserve">Для розвитку в місті сфери </w:t>
      </w:r>
      <w:r w:rsidR="008029E4" w:rsidRPr="00720DC2">
        <w:rPr>
          <w:rFonts w:cs="Times New Roman"/>
          <w:lang w:val="uk-UA"/>
        </w:rPr>
        <w:t>дизайн</w:t>
      </w:r>
      <w:r w:rsidRPr="00720DC2">
        <w:rPr>
          <w:rFonts w:cs="Times New Roman"/>
          <w:lang w:val="uk-UA"/>
        </w:rPr>
        <w:t>у</w:t>
      </w:r>
      <w:r w:rsidR="008029E4" w:rsidRPr="00720DC2">
        <w:rPr>
          <w:rFonts w:cs="Times New Roman"/>
          <w:lang w:val="uk-UA"/>
        </w:rPr>
        <w:t xml:space="preserve"> проведено роботу щодо співорганізації </w:t>
      </w:r>
      <w:r w:rsidRPr="00720DC2">
        <w:rPr>
          <w:rFonts w:cs="Times New Roman"/>
          <w:lang w:val="uk-UA"/>
        </w:rPr>
        <w:t xml:space="preserve">третьої </w:t>
      </w:r>
      <w:r w:rsidR="008029E4" w:rsidRPr="00720DC2">
        <w:rPr>
          <w:rFonts w:cs="Times New Roman"/>
          <w:lang w:val="uk-UA"/>
        </w:rPr>
        <w:t>найбільшої дизайн</w:t>
      </w:r>
      <w:r w:rsidR="005C0405">
        <w:rPr>
          <w:rFonts w:cs="Times New Roman"/>
          <w:lang w:val="uk-UA"/>
        </w:rPr>
        <w:t>-</w:t>
      </w:r>
      <w:r w:rsidR="008029E4" w:rsidRPr="00720DC2">
        <w:rPr>
          <w:rFonts w:cs="Times New Roman"/>
          <w:lang w:val="uk-UA"/>
        </w:rPr>
        <w:t>конференції у Західній Україні Design Village</w:t>
      </w:r>
      <w:r w:rsidRPr="00720DC2">
        <w:rPr>
          <w:rFonts w:cs="Times New Roman"/>
          <w:lang w:val="uk-UA"/>
        </w:rPr>
        <w:t xml:space="preserve"> на </w:t>
      </w:r>
      <w:r w:rsidR="008029E4" w:rsidRPr="00720DC2">
        <w:rPr>
          <w:rFonts w:cs="Times New Roman"/>
          <w:lang w:val="uk-UA"/>
        </w:rPr>
        <w:t xml:space="preserve">тему </w:t>
      </w:r>
      <w:r w:rsidRPr="00720DC2">
        <w:rPr>
          <w:rFonts w:cs="Times New Roman"/>
          <w:lang w:val="uk-UA"/>
        </w:rPr>
        <w:t>"</w:t>
      </w:r>
      <w:r w:rsidR="008029E4" w:rsidRPr="00720DC2">
        <w:rPr>
          <w:rFonts w:cs="Times New Roman"/>
          <w:lang w:val="uk-UA"/>
        </w:rPr>
        <w:t>Дизайн заради дизайну — не дизайн</w:t>
      </w:r>
      <w:r w:rsidRPr="00720DC2">
        <w:rPr>
          <w:rFonts w:cs="Times New Roman"/>
          <w:lang w:val="uk-UA"/>
        </w:rPr>
        <w:t>"</w:t>
      </w:r>
      <w:r w:rsidR="008029E4" w:rsidRPr="00720DC2">
        <w:rPr>
          <w:rFonts w:cs="Times New Roman"/>
          <w:lang w:val="uk-UA"/>
        </w:rPr>
        <w:t>. Лекції та воркшопи були дотичні тем UI/UX, дизайн-мислення, шрифтового дизайну, реклами, графіті та вуличного мистецтва.</w:t>
      </w:r>
    </w:p>
    <w:p w:rsidR="00183E22" w:rsidRPr="00720DC2" w:rsidRDefault="00183E22" w:rsidP="001F05DA">
      <w:pPr>
        <w:spacing w:before="240"/>
        <w:ind w:firstLine="709"/>
        <w:jc w:val="both"/>
        <w:rPr>
          <w:lang w:val="uk-UA"/>
        </w:rPr>
      </w:pPr>
      <w:r w:rsidRPr="00720DC2">
        <w:rPr>
          <w:lang w:val="uk-UA"/>
        </w:rPr>
        <w:t xml:space="preserve">Важливим фактором відносної стійкості економіки обласного центру до коливань </w:t>
      </w:r>
      <w:r w:rsidR="005C0405">
        <w:rPr>
          <w:lang w:val="uk-UA"/>
        </w:rPr>
        <w:t>в</w:t>
      </w:r>
      <w:r w:rsidRPr="00720DC2">
        <w:rPr>
          <w:lang w:val="uk-UA"/>
        </w:rPr>
        <w:t xml:space="preserve"> економіці країни є орієнтація івано-франківських підприємств-експортерів переважно на ринки країн Європи. Обсяг експорту товарів до країн ЄС становив </w:t>
      </w:r>
      <w:r w:rsidR="007C39E9" w:rsidRPr="00720DC2">
        <w:rPr>
          <w:lang w:val="uk-UA"/>
        </w:rPr>
        <w:t>158,3</w:t>
      </w:r>
      <w:r w:rsidR="00116A68">
        <w:rPr>
          <w:lang w:val="uk-UA"/>
        </w:rPr>
        <w:t xml:space="preserve"> млн </w:t>
      </w:r>
      <w:r w:rsidRPr="00720DC2">
        <w:rPr>
          <w:lang w:val="uk-UA"/>
        </w:rPr>
        <w:t>дол. або 83,</w:t>
      </w:r>
      <w:r w:rsidR="007C39E9" w:rsidRPr="00720DC2">
        <w:rPr>
          <w:lang w:val="uk-UA"/>
        </w:rPr>
        <w:t>5</w:t>
      </w:r>
      <w:r w:rsidRPr="00720DC2">
        <w:rPr>
          <w:lang w:val="uk-UA"/>
        </w:rPr>
        <w:t>% від загального обсягу експорту.</w:t>
      </w:r>
    </w:p>
    <w:p w:rsidR="00183E22" w:rsidRPr="00720DC2" w:rsidRDefault="00183E22" w:rsidP="00183E22">
      <w:pPr>
        <w:ind w:firstLine="709"/>
        <w:jc w:val="both"/>
        <w:rPr>
          <w:lang w:val="uk-UA"/>
        </w:rPr>
      </w:pPr>
      <w:r w:rsidRPr="00720DC2">
        <w:rPr>
          <w:lang w:val="uk-UA"/>
        </w:rPr>
        <w:t>Обсяги експорту товарів у січні-</w:t>
      </w:r>
      <w:r w:rsidR="00BC6C73" w:rsidRPr="00720DC2">
        <w:rPr>
          <w:lang w:val="uk-UA"/>
        </w:rPr>
        <w:t>листопад</w:t>
      </w:r>
      <w:r w:rsidR="00404051" w:rsidRPr="00720DC2">
        <w:rPr>
          <w:lang w:val="uk-UA"/>
        </w:rPr>
        <w:t>і</w:t>
      </w:r>
      <w:r w:rsidRPr="00720DC2">
        <w:rPr>
          <w:lang w:val="uk-UA"/>
        </w:rPr>
        <w:t xml:space="preserve"> </w:t>
      </w:r>
      <w:r w:rsidR="00116A68">
        <w:rPr>
          <w:lang w:val="uk-UA"/>
        </w:rPr>
        <w:t>2018</w:t>
      </w:r>
      <w:r w:rsidRPr="00720DC2">
        <w:rPr>
          <w:lang w:val="uk-UA"/>
        </w:rPr>
        <w:t xml:space="preserve"> року склали </w:t>
      </w:r>
      <w:r w:rsidR="00BC6C73" w:rsidRPr="00720DC2">
        <w:rPr>
          <w:lang w:val="uk-UA"/>
        </w:rPr>
        <w:t>208</w:t>
      </w:r>
      <w:r w:rsidRPr="00720DC2">
        <w:rPr>
          <w:lang w:val="uk-UA"/>
        </w:rPr>
        <w:t xml:space="preserve"> млн</w:t>
      </w:r>
      <w:r w:rsidR="003937E6" w:rsidRPr="00720DC2">
        <w:rPr>
          <w:lang w:val="uk-UA"/>
        </w:rPr>
        <w:t xml:space="preserve"> </w:t>
      </w:r>
      <w:r w:rsidRPr="00720DC2">
        <w:rPr>
          <w:lang w:val="uk-UA"/>
        </w:rPr>
        <w:t xml:space="preserve">дол.США, що становить </w:t>
      </w:r>
      <w:r w:rsidR="00483E66" w:rsidRPr="00720DC2">
        <w:rPr>
          <w:lang w:val="uk-UA"/>
        </w:rPr>
        <w:t>87,8</w:t>
      </w:r>
      <w:r w:rsidRPr="00720DC2">
        <w:rPr>
          <w:lang w:val="uk-UA"/>
        </w:rPr>
        <w:t xml:space="preserve">% до відповідного періоду минулого року. В загальнообласних обсягах експорту товарів питома вага суб’єктів </w:t>
      </w:r>
      <w:r w:rsidRPr="00720DC2">
        <w:rPr>
          <w:lang w:val="uk-UA"/>
        </w:rPr>
        <w:lastRenderedPageBreak/>
        <w:t xml:space="preserve">зовнішньоекономічної діяльності міста склала </w:t>
      </w:r>
      <w:r w:rsidR="00BC6C73" w:rsidRPr="00720DC2">
        <w:rPr>
          <w:lang w:val="uk-UA"/>
        </w:rPr>
        <w:t>25,4</w:t>
      </w:r>
      <w:r w:rsidRPr="00720DC2">
        <w:rPr>
          <w:lang w:val="uk-UA"/>
        </w:rPr>
        <w:t xml:space="preserve">%. Партнерами у зовнішній торгівлі товарами були нерезиденти з </w:t>
      </w:r>
      <w:r w:rsidR="00BC6C73" w:rsidRPr="00720DC2">
        <w:rPr>
          <w:lang w:val="uk-UA"/>
        </w:rPr>
        <w:t>90</w:t>
      </w:r>
      <w:r w:rsidRPr="00720DC2">
        <w:rPr>
          <w:lang w:val="uk-UA"/>
        </w:rPr>
        <w:t xml:space="preserve"> країн світу. </w:t>
      </w:r>
    </w:p>
    <w:p w:rsidR="006536EE" w:rsidRDefault="0078676E" w:rsidP="0078676E">
      <w:pPr>
        <w:jc w:val="both"/>
        <w:rPr>
          <w:lang w:val="uk-UA"/>
        </w:rPr>
      </w:pPr>
      <w:r>
        <w:rPr>
          <w:noProof/>
          <w:lang w:val="uk-UA" w:eastAsia="uk-UA"/>
        </w:rPr>
        <w:drawing>
          <wp:anchor distT="0" distB="0" distL="114300" distR="114300" simplePos="0" relativeHeight="251671552" behindDoc="0" locked="0" layoutInCell="1" allowOverlap="1" wp14:anchorId="24C8F046" wp14:editId="4BB67762">
            <wp:simplePos x="0" y="0"/>
            <wp:positionH relativeFrom="column">
              <wp:posOffset>3143885</wp:posOffset>
            </wp:positionH>
            <wp:positionV relativeFrom="paragraph">
              <wp:posOffset>201930</wp:posOffset>
            </wp:positionV>
            <wp:extent cx="3000375" cy="2259965"/>
            <wp:effectExtent l="0" t="0" r="9525" b="26035"/>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8F3FDD">
        <w:rPr>
          <w:noProof/>
          <w:lang w:val="uk-UA" w:eastAsia="uk-UA"/>
        </w:rPr>
        <w:drawing>
          <wp:anchor distT="0" distB="0" distL="114300" distR="114300" simplePos="0" relativeHeight="251670528" behindDoc="0" locked="0" layoutInCell="1" allowOverlap="1" wp14:anchorId="53864537" wp14:editId="611A3C99">
            <wp:simplePos x="0" y="0"/>
            <wp:positionH relativeFrom="column">
              <wp:posOffset>7620</wp:posOffset>
            </wp:positionH>
            <wp:positionV relativeFrom="paragraph">
              <wp:posOffset>48260</wp:posOffset>
            </wp:positionV>
            <wp:extent cx="3032760" cy="2414270"/>
            <wp:effectExtent l="0" t="0" r="15240" b="2413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183E22" w:rsidRPr="00720DC2" w:rsidRDefault="00183E22" w:rsidP="00183E22">
      <w:pPr>
        <w:ind w:firstLine="709"/>
        <w:jc w:val="both"/>
        <w:rPr>
          <w:lang w:val="uk-UA"/>
        </w:rPr>
      </w:pPr>
      <w:r w:rsidRPr="00720DC2">
        <w:rPr>
          <w:lang w:val="uk-UA"/>
        </w:rPr>
        <w:t>Обсяги імпорту товарів у січні-</w:t>
      </w:r>
      <w:r w:rsidR="00BC6C73" w:rsidRPr="00720DC2">
        <w:rPr>
          <w:lang w:val="uk-UA"/>
        </w:rPr>
        <w:t>листопад</w:t>
      </w:r>
      <w:r w:rsidRPr="00720DC2">
        <w:rPr>
          <w:lang w:val="uk-UA"/>
        </w:rPr>
        <w:t xml:space="preserve">і 2018 року склали </w:t>
      </w:r>
      <w:r w:rsidR="00BC6C73" w:rsidRPr="00720DC2">
        <w:rPr>
          <w:lang w:val="uk-UA"/>
        </w:rPr>
        <w:t xml:space="preserve">224,6 </w:t>
      </w:r>
      <w:r w:rsidRPr="00720DC2">
        <w:rPr>
          <w:lang w:val="uk-UA"/>
        </w:rPr>
        <w:t>млн</w:t>
      </w:r>
      <w:r w:rsidR="003937E6" w:rsidRPr="00720DC2">
        <w:rPr>
          <w:lang w:val="uk-UA"/>
        </w:rPr>
        <w:t xml:space="preserve"> </w:t>
      </w:r>
      <w:r w:rsidRPr="00720DC2">
        <w:rPr>
          <w:lang w:val="uk-UA"/>
        </w:rPr>
        <w:t xml:space="preserve">дол.США і порівняно з відповідним періодом минулого року збільшилися на </w:t>
      </w:r>
      <w:r w:rsidR="00483E66" w:rsidRPr="00720DC2">
        <w:rPr>
          <w:lang w:val="uk-UA"/>
        </w:rPr>
        <w:t>1</w:t>
      </w:r>
      <w:r w:rsidR="00BC6C73" w:rsidRPr="00720DC2">
        <w:rPr>
          <w:lang w:val="uk-UA"/>
        </w:rPr>
        <w:t>0,3</w:t>
      </w:r>
      <w:r w:rsidRPr="00720DC2">
        <w:rPr>
          <w:lang w:val="uk-UA"/>
        </w:rPr>
        <w:t>%.</w:t>
      </w:r>
    </w:p>
    <w:p w:rsidR="00183E22" w:rsidRPr="00720DC2" w:rsidRDefault="00183E22" w:rsidP="00183E22">
      <w:pPr>
        <w:ind w:firstLine="708"/>
        <w:jc w:val="both"/>
        <w:rPr>
          <w:lang w:val="uk-UA"/>
        </w:rPr>
      </w:pPr>
      <w:r w:rsidRPr="00720DC2">
        <w:rPr>
          <w:lang w:val="uk-UA"/>
        </w:rPr>
        <w:t xml:space="preserve">Імпорт товарів з країн ЄС становив </w:t>
      </w:r>
      <w:r w:rsidR="00BC6C73" w:rsidRPr="00720DC2">
        <w:rPr>
          <w:lang w:val="uk-UA"/>
        </w:rPr>
        <w:t xml:space="preserve">163,3 </w:t>
      </w:r>
      <w:r w:rsidR="00C12B9D" w:rsidRPr="00720DC2">
        <w:rPr>
          <w:lang w:val="uk-UA"/>
        </w:rPr>
        <w:t xml:space="preserve">млн </w:t>
      </w:r>
      <w:r w:rsidRPr="00720DC2">
        <w:rPr>
          <w:lang w:val="uk-UA"/>
        </w:rPr>
        <w:t xml:space="preserve">дол., або </w:t>
      </w:r>
      <w:r w:rsidR="00BC6C73" w:rsidRPr="00720DC2">
        <w:rPr>
          <w:lang w:val="uk-UA"/>
        </w:rPr>
        <w:t>72,7</w:t>
      </w:r>
      <w:r w:rsidRPr="00720DC2">
        <w:rPr>
          <w:lang w:val="uk-UA"/>
        </w:rPr>
        <w:t xml:space="preserve">% від загального обсягу імпорту по місту. </w:t>
      </w:r>
      <w:r w:rsidR="00483E66" w:rsidRPr="00720DC2">
        <w:rPr>
          <w:lang w:val="uk-UA"/>
        </w:rPr>
        <w:t xml:space="preserve">Понад </w:t>
      </w:r>
      <w:r w:rsidRPr="00720DC2">
        <w:rPr>
          <w:lang w:val="uk-UA"/>
        </w:rPr>
        <w:t>5</w:t>
      </w:r>
      <w:r w:rsidR="00483E66" w:rsidRPr="00720DC2">
        <w:rPr>
          <w:lang w:val="uk-UA"/>
        </w:rPr>
        <w:t>0</w:t>
      </w:r>
      <w:r w:rsidRPr="00720DC2">
        <w:rPr>
          <w:lang w:val="uk-UA"/>
        </w:rPr>
        <w:t>% обсягу імпорту товарів займали механічні та електричні машини. Суттєвими були і надходження полімерних матеріалів, пластмас та виробів з них (</w:t>
      </w:r>
      <w:r w:rsidR="00BC6C73" w:rsidRPr="00720DC2">
        <w:rPr>
          <w:lang w:val="uk-UA"/>
        </w:rPr>
        <w:t>13,4</w:t>
      </w:r>
      <w:r w:rsidRPr="00720DC2">
        <w:rPr>
          <w:lang w:val="uk-UA"/>
        </w:rPr>
        <w:t>%), недорогоцінних металів та виробів з них (</w:t>
      </w:r>
      <w:r w:rsidR="00BC6C73" w:rsidRPr="00720DC2">
        <w:rPr>
          <w:lang w:val="uk-UA"/>
        </w:rPr>
        <w:t>10,9</w:t>
      </w:r>
      <w:r w:rsidRPr="00720DC2">
        <w:rPr>
          <w:lang w:val="uk-UA"/>
        </w:rPr>
        <w:t>%), текстильних матеріалів та текстильних виробів (5,</w:t>
      </w:r>
      <w:r w:rsidR="00BC6C73" w:rsidRPr="00720DC2">
        <w:rPr>
          <w:lang w:val="uk-UA"/>
        </w:rPr>
        <w:t>4</w:t>
      </w:r>
      <w:r w:rsidRPr="00720DC2">
        <w:rPr>
          <w:lang w:val="uk-UA"/>
        </w:rPr>
        <w:t xml:space="preserve">%), продукції хімічної та пов’язаних з нею галузей промисловості (4,8%). </w:t>
      </w:r>
    </w:p>
    <w:p w:rsidR="00523CDB" w:rsidRPr="00720DC2" w:rsidRDefault="00C14DC8" w:rsidP="001F05DA">
      <w:pPr>
        <w:ind w:firstLine="709"/>
        <w:jc w:val="both"/>
        <w:rPr>
          <w:lang w:val="uk-UA"/>
        </w:rPr>
      </w:pPr>
      <w:r w:rsidRPr="00720DC2">
        <w:rPr>
          <w:lang w:val="uk-UA"/>
        </w:rPr>
        <w:t>Для</w:t>
      </w:r>
      <w:r w:rsidR="00523CDB" w:rsidRPr="00720DC2">
        <w:rPr>
          <w:lang w:val="uk-UA"/>
        </w:rPr>
        <w:t xml:space="preserve"> визначення двох українських міст щодо реалізації національних безкоштовних освітніх програм для підприємців та експортерів "Export Revolution Ukraine" та "Creative Export Ukraine"</w:t>
      </w:r>
      <w:r w:rsidRPr="00720DC2">
        <w:rPr>
          <w:lang w:val="uk-UA"/>
        </w:rPr>
        <w:t xml:space="preserve"> в</w:t>
      </w:r>
      <w:r w:rsidR="00523CDB" w:rsidRPr="00720DC2">
        <w:rPr>
          <w:lang w:val="uk-UA"/>
        </w:rPr>
        <w:t>зято участь в конкурсі "Битва міст". Конкурс було організовано Офісом з просування експорту (Export Promotion Office).</w:t>
      </w:r>
    </w:p>
    <w:p w:rsidR="00523CDB" w:rsidRPr="00720DC2" w:rsidRDefault="00523CDB" w:rsidP="001F05DA">
      <w:pPr>
        <w:ind w:firstLine="709"/>
        <w:jc w:val="both"/>
        <w:rPr>
          <w:lang w:val="uk-UA"/>
        </w:rPr>
      </w:pPr>
      <w:r w:rsidRPr="00720DC2">
        <w:rPr>
          <w:lang w:val="uk-UA"/>
        </w:rPr>
        <w:t xml:space="preserve">По проекту </w:t>
      </w:r>
      <w:r w:rsidR="001F05DA" w:rsidRPr="00720DC2">
        <w:rPr>
          <w:lang w:val="uk-UA"/>
        </w:rPr>
        <w:t>"</w:t>
      </w:r>
      <w:r w:rsidRPr="00720DC2">
        <w:rPr>
          <w:lang w:val="uk-UA"/>
        </w:rPr>
        <w:t>Розвиток громад</w:t>
      </w:r>
      <w:r w:rsidR="001F05DA" w:rsidRPr="00720DC2">
        <w:rPr>
          <w:lang w:val="uk-UA"/>
        </w:rPr>
        <w:t>"</w:t>
      </w:r>
      <w:r w:rsidRPr="00720DC2">
        <w:rPr>
          <w:lang w:val="uk-UA"/>
        </w:rPr>
        <w:t xml:space="preserve"> Корпусу миру США залучено на два роки волонтера Ері</w:t>
      </w:r>
      <w:r w:rsidR="00C14DC8" w:rsidRPr="00720DC2">
        <w:rPr>
          <w:lang w:val="uk-UA"/>
        </w:rPr>
        <w:t>ка Ф</w:t>
      </w:r>
      <w:r w:rsidR="001F05DA" w:rsidRPr="00720DC2">
        <w:rPr>
          <w:lang w:val="uk-UA"/>
        </w:rPr>
        <w:t>ейна для роботи в управлінні інв</w:t>
      </w:r>
      <w:r w:rsidR="00C14DC8" w:rsidRPr="00720DC2">
        <w:rPr>
          <w:lang w:val="uk-UA"/>
        </w:rPr>
        <w:t>естиційної політики</w:t>
      </w:r>
      <w:r w:rsidRPr="00720DC2">
        <w:rPr>
          <w:lang w:val="uk-UA"/>
        </w:rPr>
        <w:t>.</w:t>
      </w:r>
    </w:p>
    <w:p w:rsidR="001F05DA" w:rsidRPr="00720DC2" w:rsidRDefault="001F05DA" w:rsidP="001F05DA">
      <w:pPr>
        <w:ind w:firstLine="709"/>
        <w:jc w:val="both"/>
        <w:rPr>
          <w:lang w:val="uk-UA"/>
        </w:rPr>
      </w:pPr>
      <w:r w:rsidRPr="00720DC2">
        <w:rPr>
          <w:rFonts w:cs="Times New Roman"/>
          <w:lang w:val="uk-UA"/>
        </w:rPr>
        <w:t>Розпочато реалізацію проекту "Управління та використання міської культурної та природної спадщини в містах Дунайського регіону (URBforDAN)" в рамках Дунайської транснаціональної програми.</w:t>
      </w:r>
    </w:p>
    <w:p w:rsidR="00523CDB" w:rsidRDefault="00EA7D65" w:rsidP="001F05DA">
      <w:pPr>
        <w:ind w:firstLine="709"/>
        <w:jc w:val="both"/>
        <w:rPr>
          <w:lang w:val="uk-UA"/>
        </w:rPr>
      </w:pPr>
      <w:r w:rsidRPr="00722640">
        <w:rPr>
          <w:lang w:val="uk-UA"/>
        </w:rPr>
        <w:t>У</w:t>
      </w:r>
      <w:r w:rsidR="00523CDB" w:rsidRPr="00722640">
        <w:rPr>
          <w:lang w:val="uk-UA"/>
        </w:rPr>
        <w:t xml:space="preserve"> грудні 2018 року офіційно оголошено про відбір </w:t>
      </w:r>
      <w:r w:rsidR="00C14DC8" w:rsidRPr="00722640">
        <w:rPr>
          <w:lang w:val="uk-UA"/>
        </w:rPr>
        <w:t xml:space="preserve">проекту </w:t>
      </w:r>
      <w:r w:rsidR="001F05DA" w:rsidRPr="00722640">
        <w:rPr>
          <w:lang w:val="uk-UA"/>
        </w:rPr>
        <w:t>"</w:t>
      </w:r>
      <w:r w:rsidR="00C14DC8" w:rsidRPr="00722640">
        <w:rPr>
          <w:lang w:val="uk-UA"/>
        </w:rPr>
        <w:t>Транскордонна зелена транспортна мережа</w:t>
      </w:r>
      <w:r w:rsidR="001F05DA" w:rsidRPr="00722640">
        <w:rPr>
          <w:lang w:val="uk-UA"/>
        </w:rPr>
        <w:t>"</w:t>
      </w:r>
      <w:r w:rsidR="00C14DC8" w:rsidRPr="00722640">
        <w:rPr>
          <w:lang w:val="uk-UA"/>
        </w:rPr>
        <w:t xml:space="preserve"> </w:t>
      </w:r>
      <w:r w:rsidR="00523CDB" w:rsidRPr="00722640">
        <w:rPr>
          <w:lang w:val="uk-UA"/>
        </w:rPr>
        <w:t>для співфінансування</w:t>
      </w:r>
      <w:r w:rsidR="00C14DC8" w:rsidRPr="00722640">
        <w:rPr>
          <w:lang w:val="uk-UA"/>
        </w:rPr>
        <w:t xml:space="preserve"> в рамках</w:t>
      </w:r>
      <w:r w:rsidR="00C14DC8" w:rsidRPr="00720DC2">
        <w:rPr>
          <w:lang w:val="uk-UA"/>
        </w:rPr>
        <w:t xml:space="preserve"> Програми транскордонного співробітництва </w:t>
      </w:r>
      <w:r w:rsidR="00F45B9B">
        <w:rPr>
          <w:lang w:val="uk-UA"/>
        </w:rPr>
        <w:t xml:space="preserve">Угорщина-Словаччина- </w:t>
      </w:r>
      <w:r w:rsidR="00C14DC8" w:rsidRPr="00720DC2">
        <w:rPr>
          <w:lang w:val="uk-UA"/>
        </w:rPr>
        <w:t xml:space="preserve">Румунія-Україна </w:t>
      </w:r>
      <w:r w:rsidR="00F45B9B">
        <w:rPr>
          <w:lang w:val="uk-UA"/>
        </w:rPr>
        <w:t xml:space="preserve"> </w:t>
      </w:r>
      <w:r w:rsidR="00C14DC8" w:rsidRPr="00720DC2">
        <w:rPr>
          <w:lang w:val="uk-UA"/>
        </w:rPr>
        <w:t>2014-2020</w:t>
      </w:r>
      <w:r w:rsidR="00523CDB" w:rsidRPr="00720DC2">
        <w:rPr>
          <w:lang w:val="uk-UA"/>
        </w:rPr>
        <w:t xml:space="preserve">. Загальна сума проекту складає 280 828,95 євро, з яких сума гранту - 252 746, 055 євро. Проект об’єднає партнерів з Угорщини, Словаччини та Румунії, а також 7 міст Західної України. </w:t>
      </w:r>
      <w:r w:rsidRPr="00720DC2">
        <w:rPr>
          <w:lang w:val="uk-UA"/>
        </w:rPr>
        <w:t>У</w:t>
      </w:r>
      <w:r w:rsidR="00523CDB" w:rsidRPr="00720DC2">
        <w:rPr>
          <w:lang w:val="uk-UA"/>
        </w:rPr>
        <w:t xml:space="preserve"> рамках реалізації проекту </w:t>
      </w:r>
      <w:r w:rsidRPr="00720DC2">
        <w:rPr>
          <w:lang w:val="uk-UA"/>
        </w:rPr>
        <w:t xml:space="preserve">планується </w:t>
      </w:r>
      <w:r w:rsidR="00523CDB" w:rsidRPr="00720DC2">
        <w:rPr>
          <w:lang w:val="uk-UA"/>
        </w:rPr>
        <w:t xml:space="preserve">встановлення </w:t>
      </w:r>
      <w:r w:rsidR="00720DC2" w:rsidRPr="00720DC2">
        <w:rPr>
          <w:lang w:val="uk-UA"/>
        </w:rPr>
        <w:t>3 електрозаправок на території м.Івано-Франківська (на території України – 11)</w:t>
      </w:r>
      <w:r w:rsidR="00523CDB" w:rsidRPr="00720DC2">
        <w:rPr>
          <w:lang w:val="uk-UA"/>
        </w:rPr>
        <w:t xml:space="preserve">, за допомогою яких водії електромобілів зможуть безперешкодно подолати відстань в 1200 км між містами. Всі електрозаправки будуть підключені до світової безкоштовної </w:t>
      </w:r>
      <w:r w:rsidR="00523CDB" w:rsidRPr="00720DC2">
        <w:rPr>
          <w:lang w:val="uk-UA"/>
        </w:rPr>
        <w:lastRenderedPageBreak/>
        <w:t>онлайн</w:t>
      </w:r>
      <w:r w:rsidR="00034B0D">
        <w:rPr>
          <w:lang w:val="uk-UA"/>
        </w:rPr>
        <w:t>-</w:t>
      </w:r>
      <w:r w:rsidR="00523CDB" w:rsidRPr="00720DC2">
        <w:rPr>
          <w:lang w:val="uk-UA"/>
        </w:rPr>
        <w:t xml:space="preserve">мережі електрозаправок. Реалізація проекту розпочнеться </w:t>
      </w:r>
      <w:r w:rsidRPr="00720DC2">
        <w:rPr>
          <w:lang w:val="uk-UA"/>
        </w:rPr>
        <w:t>з</w:t>
      </w:r>
      <w:r w:rsidR="00523CDB" w:rsidRPr="00720DC2">
        <w:rPr>
          <w:lang w:val="uk-UA"/>
        </w:rPr>
        <w:t xml:space="preserve"> 2019 року.</w:t>
      </w:r>
    </w:p>
    <w:p w:rsidR="00034B0D" w:rsidRPr="00720DC2" w:rsidRDefault="00034B0D" w:rsidP="001F05DA">
      <w:pPr>
        <w:ind w:firstLine="709"/>
        <w:jc w:val="both"/>
        <w:rPr>
          <w:lang w:val="uk-UA"/>
        </w:rPr>
      </w:pPr>
    </w:p>
    <w:p w:rsidR="00183E22" w:rsidRPr="00720DC2" w:rsidRDefault="00183E22" w:rsidP="00183E22">
      <w:pPr>
        <w:pStyle w:val="a3"/>
        <w:numPr>
          <w:ilvl w:val="1"/>
          <w:numId w:val="2"/>
        </w:numPr>
        <w:tabs>
          <w:tab w:val="left" w:pos="0"/>
          <w:tab w:val="left" w:pos="7230"/>
          <w:tab w:val="left" w:pos="7797"/>
          <w:tab w:val="left" w:pos="7938"/>
          <w:tab w:val="left" w:pos="8364"/>
        </w:tabs>
        <w:outlineLvl w:val="0"/>
        <w:rPr>
          <w:i/>
          <w:sz w:val="28"/>
          <w:szCs w:val="28"/>
          <w:lang w:val="uk-UA"/>
        </w:rPr>
      </w:pPr>
      <w:r w:rsidRPr="00720DC2">
        <w:rPr>
          <w:i/>
          <w:sz w:val="28"/>
          <w:szCs w:val="28"/>
          <w:lang w:val="uk-UA"/>
        </w:rPr>
        <w:t>Споживчий ринок</w:t>
      </w:r>
    </w:p>
    <w:p w:rsidR="004F3652" w:rsidRPr="00720DC2" w:rsidRDefault="004F3652" w:rsidP="004F3652">
      <w:pPr>
        <w:ind w:firstLine="708"/>
        <w:jc w:val="both"/>
        <w:rPr>
          <w:lang w:val="uk-UA"/>
        </w:rPr>
      </w:pPr>
      <w:r w:rsidRPr="00720DC2">
        <w:rPr>
          <w:color w:val="000000"/>
          <w:lang w:val="uk-UA"/>
        </w:rPr>
        <w:t xml:space="preserve">Торгівлю товарами народного споживання в місті станом на 31.12.2018р. здійснюють 1641 торговий заклад  загальною площею 165,7 тис.кв.м та 697 підприємств ресторанного господарства на 38,7 тисяч посадкових місць, зокрема: </w:t>
      </w:r>
    </w:p>
    <w:p w:rsidR="004F3652" w:rsidRPr="00720DC2" w:rsidRDefault="004F3652" w:rsidP="004F3652">
      <w:pPr>
        <w:jc w:val="both"/>
        <w:rPr>
          <w:lang w:val="uk-UA"/>
        </w:rPr>
      </w:pPr>
      <w:r w:rsidRPr="00720DC2">
        <w:rPr>
          <w:lang w:val="uk-UA"/>
        </w:rPr>
        <w:t xml:space="preserve">-   торгові центри та супермаркети - 72; </w:t>
      </w:r>
    </w:p>
    <w:p w:rsidR="004F3652" w:rsidRPr="00720DC2" w:rsidRDefault="004F3652" w:rsidP="004F3652">
      <w:pPr>
        <w:numPr>
          <w:ilvl w:val="0"/>
          <w:numId w:val="1"/>
        </w:numPr>
        <w:shd w:val="clear" w:color="auto" w:fill="FFFFFF"/>
        <w:spacing w:line="200" w:lineRule="atLeast"/>
        <w:ind w:left="357" w:hanging="357"/>
        <w:jc w:val="both"/>
        <w:textAlignment w:val="baseline"/>
        <w:rPr>
          <w:lang w:val="uk-UA"/>
        </w:rPr>
      </w:pPr>
      <w:r w:rsidRPr="00720DC2">
        <w:rPr>
          <w:lang w:val="uk-UA"/>
        </w:rPr>
        <w:t>продовольчі магазини – 889;</w:t>
      </w:r>
    </w:p>
    <w:p w:rsidR="004F3652" w:rsidRPr="00720DC2" w:rsidRDefault="004F3652" w:rsidP="004F3652">
      <w:pPr>
        <w:numPr>
          <w:ilvl w:val="0"/>
          <w:numId w:val="1"/>
        </w:numPr>
        <w:shd w:val="clear" w:color="auto" w:fill="FFFFFF"/>
        <w:spacing w:line="200" w:lineRule="atLeast"/>
        <w:ind w:left="357" w:hanging="357"/>
        <w:jc w:val="both"/>
        <w:textAlignment w:val="baseline"/>
        <w:rPr>
          <w:lang w:val="uk-UA"/>
        </w:rPr>
      </w:pPr>
      <w:r w:rsidRPr="00720DC2">
        <w:rPr>
          <w:lang w:val="uk-UA"/>
        </w:rPr>
        <w:t>промислові магазини –  656;</w:t>
      </w:r>
    </w:p>
    <w:p w:rsidR="004F3652" w:rsidRPr="00720DC2" w:rsidRDefault="004F3652" w:rsidP="004F3652">
      <w:pPr>
        <w:numPr>
          <w:ilvl w:val="0"/>
          <w:numId w:val="1"/>
        </w:numPr>
        <w:shd w:val="clear" w:color="auto" w:fill="FFFFFF"/>
        <w:spacing w:line="200" w:lineRule="atLeast"/>
        <w:ind w:left="357" w:hanging="357"/>
        <w:jc w:val="both"/>
        <w:textAlignment w:val="baseline"/>
        <w:rPr>
          <w:lang w:val="uk-UA"/>
        </w:rPr>
      </w:pPr>
      <w:r w:rsidRPr="00720DC2">
        <w:rPr>
          <w:lang w:val="uk-UA"/>
        </w:rPr>
        <w:t>книгарні - 24 ;</w:t>
      </w:r>
    </w:p>
    <w:p w:rsidR="004F3652" w:rsidRPr="00720DC2" w:rsidRDefault="004F3652" w:rsidP="004F3652">
      <w:pPr>
        <w:numPr>
          <w:ilvl w:val="0"/>
          <w:numId w:val="1"/>
        </w:numPr>
        <w:shd w:val="clear" w:color="auto" w:fill="FFFFFF"/>
        <w:spacing w:line="200" w:lineRule="atLeast"/>
        <w:ind w:left="357" w:hanging="357"/>
        <w:jc w:val="both"/>
        <w:textAlignment w:val="baseline"/>
        <w:rPr>
          <w:lang w:val="uk-UA"/>
        </w:rPr>
      </w:pPr>
      <w:r w:rsidRPr="00720DC2">
        <w:rPr>
          <w:lang w:val="uk-UA"/>
        </w:rPr>
        <w:t>ресторани – 64;</w:t>
      </w:r>
    </w:p>
    <w:p w:rsidR="004F3652" w:rsidRPr="00720DC2" w:rsidRDefault="004F3652" w:rsidP="004F3652">
      <w:pPr>
        <w:numPr>
          <w:ilvl w:val="0"/>
          <w:numId w:val="1"/>
        </w:numPr>
        <w:shd w:val="clear" w:color="auto" w:fill="FFFFFF"/>
        <w:spacing w:line="200" w:lineRule="atLeast"/>
        <w:ind w:left="357" w:hanging="357"/>
        <w:jc w:val="both"/>
        <w:textAlignment w:val="baseline"/>
        <w:rPr>
          <w:lang w:val="uk-UA"/>
        </w:rPr>
      </w:pPr>
      <w:r w:rsidRPr="00720DC2">
        <w:rPr>
          <w:lang w:val="uk-UA"/>
        </w:rPr>
        <w:t xml:space="preserve">кафе, кав’ярні, паби – 633.  </w:t>
      </w:r>
    </w:p>
    <w:p w:rsidR="004F3652" w:rsidRPr="00720DC2" w:rsidRDefault="004F3652" w:rsidP="004F3652">
      <w:pPr>
        <w:shd w:val="clear" w:color="auto" w:fill="FFFFFF"/>
        <w:spacing w:line="200" w:lineRule="atLeast"/>
        <w:ind w:firstLine="708"/>
        <w:jc w:val="both"/>
        <w:textAlignment w:val="baseline"/>
        <w:rPr>
          <w:color w:val="000000"/>
          <w:lang w:val="uk-UA"/>
        </w:rPr>
      </w:pPr>
      <w:r w:rsidRPr="00720DC2">
        <w:rPr>
          <w:color w:val="000000"/>
          <w:lang w:val="uk-UA"/>
        </w:rPr>
        <w:t xml:space="preserve">Побутове обслуговування населення здійснюється через 398 підприємств побуту. </w:t>
      </w:r>
    </w:p>
    <w:p w:rsidR="00055250" w:rsidRDefault="00055250" w:rsidP="004F3652">
      <w:pPr>
        <w:shd w:val="clear" w:color="auto" w:fill="FFFFFF"/>
        <w:spacing w:line="200" w:lineRule="atLeast"/>
        <w:ind w:firstLine="708"/>
        <w:jc w:val="both"/>
        <w:textAlignment w:val="baseline"/>
        <w:rPr>
          <w:color w:val="000000"/>
          <w:lang w:val="uk-UA"/>
        </w:rPr>
      </w:pPr>
    </w:p>
    <w:p w:rsidR="00055250" w:rsidRPr="00720DC2" w:rsidRDefault="00055250" w:rsidP="00055250">
      <w:pPr>
        <w:rPr>
          <w:i/>
          <w:sz w:val="24"/>
          <w:szCs w:val="24"/>
          <w:lang w:val="uk-UA"/>
        </w:rPr>
      </w:pPr>
      <w:r w:rsidRPr="00720DC2">
        <w:rPr>
          <w:i/>
          <w:sz w:val="24"/>
          <w:szCs w:val="24"/>
          <w:lang w:val="uk-UA"/>
        </w:rPr>
        <w:t>Кількісні та якісні показники ефективності реалізації:</w:t>
      </w:r>
    </w:p>
    <w:tbl>
      <w:tblPr>
        <w:tblpPr w:leftFromText="180" w:rightFromText="180" w:bottomFromText="16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418"/>
        <w:gridCol w:w="1275"/>
        <w:gridCol w:w="1418"/>
      </w:tblGrid>
      <w:tr w:rsidR="00055250" w:rsidRPr="00720DC2" w:rsidTr="004D14A2">
        <w:tc>
          <w:tcPr>
            <w:tcW w:w="5353" w:type="dxa"/>
            <w:tcBorders>
              <w:top w:val="single" w:sz="4" w:space="0" w:color="000000"/>
              <w:left w:val="single" w:sz="4" w:space="0" w:color="000000"/>
              <w:bottom w:val="single" w:sz="4" w:space="0" w:color="000000"/>
              <w:right w:val="single" w:sz="4" w:space="0" w:color="000000"/>
            </w:tcBorders>
            <w:vAlign w:val="center"/>
            <w:hideMark/>
          </w:tcPr>
          <w:p w:rsidR="00055250" w:rsidRPr="00720DC2" w:rsidRDefault="00055250" w:rsidP="004D14A2">
            <w:pPr>
              <w:spacing w:line="256" w:lineRule="auto"/>
              <w:jc w:val="center"/>
              <w:rPr>
                <w:b/>
                <w:sz w:val="24"/>
                <w:szCs w:val="24"/>
                <w:lang w:val="uk-UA"/>
              </w:rPr>
            </w:pPr>
            <w:r w:rsidRPr="00720DC2">
              <w:rPr>
                <w:b/>
                <w:sz w:val="24"/>
                <w:szCs w:val="24"/>
                <w:lang w:val="uk-UA"/>
              </w:rPr>
              <w:t>Показники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55250" w:rsidRPr="00720DC2" w:rsidRDefault="00055250" w:rsidP="004D14A2">
            <w:pPr>
              <w:spacing w:line="256" w:lineRule="auto"/>
              <w:jc w:val="center"/>
              <w:rPr>
                <w:b/>
                <w:sz w:val="24"/>
                <w:szCs w:val="24"/>
                <w:lang w:val="uk-UA"/>
              </w:rPr>
            </w:pPr>
            <w:r w:rsidRPr="00720DC2">
              <w:rPr>
                <w:b/>
                <w:sz w:val="24"/>
                <w:szCs w:val="24"/>
                <w:lang w:val="uk-UA"/>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55250" w:rsidRPr="00720DC2" w:rsidRDefault="00055250" w:rsidP="004D14A2">
            <w:pPr>
              <w:spacing w:line="256" w:lineRule="auto"/>
              <w:jc w:val="center"/>
              <w:rPr>
                <w:b/>
                <w:sz w:val="24"/>
                <w:szCs w:val="24"/>
                <w:lang w:val="uk-UA"/>
              </w:rPr>
            </w:pPr>
            <w:r w:rsidRPr="00720DC2">
              <w:rPr>
                <w:b/>
                <w:sz w:val="24"/>
                <w:szCs w:val="24"/>
                <w:lang w:val="uk-UA"/>
              </w:rPr>
              <w:t>2017р.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55250" w:rsidRPr="00720DC2" w:rsidRDefault="00055250" w:rsidP="00876DF7">
            <w:pPr>
              <w:spacing w:line="256" w:lineRule="auto"/>
              <w:jc w:val="center"/>
              <w:rPr>
                <w:b/>
                <w:sz w:val="24"/>
                <w:szCs w:val="24"/>
                <w:lang w:val="uk-UA"/>
              </w:rPr>
            </w:pPr>
            <w:r w:rsidRPr="00720DC2">
              <w:rPr>
                <w:b/>
                <w:sz w:val="24"/>
                <w:szCs w:val="24"/>
                <w:lang w:val="uk-UA"/>
              </w:rPr>
              <w:t>2018р.</w:t>
            </w:r>
          </w:p>
        </w:tc>
      </w:tr>
      <w:tr w:rsidR="00055250"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jc w:val="both"/>
              <w:rPr>
                <w:b/>
                <w:i/>
                <w:sz w:val="24"/>
                <w:szCs w:val="24"/>
                <w:lang w:val="uk-UA"/>
              </w:rPr>
            </w:pPr>
            <w:r w:rsidRPr="00720DC2">
              <w:rPr>
                <w:b/>
                <w:i/>
                <w:sz w:val="24"/>
                <w:szCs w:val="24"/>
                <w:lang w:val="uk-UA"/>
              </w:rPr>
              <w:t>Торгівля:</w:t>
            </w:r>
          </w:p>
        </w:tc>
        <w:tc>
          <w:tcPr>
            <w:tcW w:w="1418" w:type="dxa"/>
            <w:tcBorders>
              <w:top w:val="single" w:sz="4" w:space="0" w:color="000000"/>
              <w:left w:val="single" w:sz="4" w:space="0" w:color="000000"/>
              <w:bottom w:val="single" w:sz="4" w:space="0" w:color="000000"/>
              <w:right w:val="single" w:sz="4" w:space="0" w:color="000000"/>
            </w:tcBorders>
          </w:tcPr>
          <w:p w:rsidR="00055250" w:rsidRPr="00720DC2" w:rsidRDefault="00055250" w:rsidP="00D4778A">
            <w:pPr>
              <w:spacing w:line="256" w:lineRule="auto"/>
              <w:jc w:val="both"/>
              <w:rPr>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055250" w:rsidRPr="00720DC2" w:rsidRDefault="00055250" w:rsidP="00D4778A">
            <w:pPr>
              <w:spacing w:line="256" w:lineRule="auto"/>
              <w:jc w:val="both"/>
              <w:rPr>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rsidR="00055250" w:rsidRPr="00720DC2" w:rsidRDefault="00055250" w:rsidP="00D4778A">
            <w:pPr>
              <w:spacing w:line="256" w:lineRule="auto"/>
              <w:jc w:val="both"/>
              <w:rPr>
                <w:sz w:val="24"/>
                <w:szCs w:val="24"/>
                <w:lang w:val="uk-UA"/>
              </w:rPr>
            </w:pPr>
          </w:p>
        </w:tc>
      </w:tr>
      <w:tr w:rsidR="00055250"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rPr>
                <w:sz w:val="24"/>
                <w:szCs w:val="24"/>
                <w:lang w:val="uk-UA"/>
              </w:rPr>
            </w:pPr>
            <w:r w:rsidRPr="00720DC2">
              <w:rPr>
                <w:sz w:val="24"/>
                <w:szCs w:val="24"/>
                <w:lang w:val="uk-UA"/>
              </w:rPr>
              <w:t>- об’єкти торгівлі</w:t>
            </w:r>
          </w:p>
        </w:tc>
        <w:tc>
          <w:tcPr>
            <w:tcW w:w="1418" w:type="dxa"/>
            <w:tcBorders>
              <w:top w:val="single" w:sz="4" w:space="0" w:color="000000"/>
              <w:left w:val="single" w:sz="4" w:space="0" w:color="000000"/>
              <w:bottom w:val="single" w:sz="4" w:space="0" w:color="000000"/>
              <w:right w:val="single" w:sz="4" w:space="0" w:color="000000"/>
            </w:tcBorders>
            <w:hideMark/>
          </w:tcPr>
          <w:p w:rsidR="00055250" w:rsidRPr="00720DC2" w:rsidRDefault="00F00554" w:rsidP="00D4778A">
            <w:pPr>
              <w:spacing w:line="256" w:lineRule="auto"/>
              <w:jc w:val="both"/>
              <w:rPr>
                <w:sz w:val="24"/>
                <w:szCs w:val="24"/>
                <w:lang w:val="uk-UA"/>
              </w:rPr>
            </w:pPr>
            <w:r w:rsidRPr="00720DC2">
              <w:rPr>
                <w:sz w:val="24"/>
                <w:szCs w:val="24"/>
                <w:lang w:val="uk-UA"/>
              </w:rPr>
              <w:t>о</w:t>
            </w:r>
            <w:r w:rsidR="00055250" w:rsidRPr="00720DC2">
              <w:rPr>
                <w:sz w:val="24"/>
                <w:szCs w:val="24"/>
                <w:lang w:val="uk-UA"/>
              </w:rPr>
              <w:t>диниць</w:t>
            </w:r>
          </w:p>
        </w:tc>
        <w:tc>
          <w:tcPr>
            <w:tcW w:w="1275"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jc w:val="center"/>
              <w:rPr>
                <w:sz w:val="24"/>
                <w:szCs w:val="24"/>
                <w:lang w:val="uk-UA"/>
              </w:rPr>
            </w:pPr>
            <w:r w:rsidRPr="00720DC2">
              <w:rPr>
                <w:sz w:val="24"/>
                <w:szCs w:val="24"/>
                <w:lang w:val="uk-UA"/>
              </w:rPr>
              <w:t>1635</w:t>
            </w:r>
          </w:p>
        </w:tc>
        <w:tc>
          <w:tcPr>
            <w:tcW w:w="1418" w:type="dxa"/>
            <w:tcBorders>
              <w:top w:val="single" w:sz="4" w:space="0" w:color="000000"/>
              <w:left w:val="single" w:sz="4" w:space="0" w:color="000000"/>
              <w:bottom w:val="single" w:sz="4" w:space="0" w:color="000000"/>
              <w:right w:val="single" w:sz="4" w:space="0" w:color="000000"/>
            </w:tcBorders>
          </w:tcPr>
          <w:p w:rsidR="00055250" w:rsidRPr="00720DC2" w:rsidRDefault="00055250" w:rsidP="00D4778A">
            <w:pPr>
              <w:spacing w:line="256" w:lineRule="auto"/>
              <w:jc w:val="center"/>
              <w:rPr>
                <w:sz w:val="24"/>
                <w:szCs w:val="24"/>
                <w:lang w:val="uk-UA"/>
              </w:rPr>
            </w:pPr>
            <w:r w:rsidRPr="00720DC2">
              <w:rPr>
                <w:sz w:val="24"/>
                <w:szCs w:val="24"/>
                <w:lang w:val="uk-UA"/>
              </w:rPr>
              <w:t>1641</w:t>
            </w:r>
          </w:p>
        </w:tc>
      </w:tr>
      <w:tr w:rsidR="00055250"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rPr>
                <w:sz w:val="24"/>
                <w:szCs w:val="24"/>
                <w:lang w:val="uk-UA"/>
              </w:rPr>
            </w:pPr>
            <w:r w:rsidRPr="00720DC2">
              <w:rPr>
                <w:sz w:val="24"/>
                <w:szCs w:val="24"/>
                <w:lang w:val="uk-UA"/>
              </w:rPr>
              <w:t>- загальна торгова площа</w:t>
            </w:r>
          </w:p>
        </w:tc>
        <w:tc>
          <w:tcPr>
            <w:tcW w:w="1418"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jc w:val="both"/>
              <w:rPr>
                <w:sz w:val="24"/>
                <w:szCs w:val="24"/>
                <w:lang w:val="uk-UA"/>
              </w:rPr>
            </w:pPr>
            <w:r w:rsidRPr="00720DC2">
              <w:rPr>
                <w:sz w:val="24"/>
                <w:szCs w:val="24"/>
                <w:lang w:val="uk-UA"/>
              </w:rPr>
              <w:t>тис.кв.м</w:t>
            </w:r>
          </w:p>
        </w:tc>
        <w:tc>
          <w:tcPr>
            <w:tcW w:w="1275"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jc w:val="center"/>
              <w:rPr>
                <w:sz w:val="24"/>
                <w:szCs w:val="24"/>
                <w:lang w:val="uk-UA"/>
              </w:rPr>
            </w:pPr>
            <w:r w:rsidRPr="00720DC2">
              <w:rPr>
                <w:sz w:val="24"/>
                <w:szCs w:val="24"/>
                <w:lang w:val="uk-UA"/>
              </w:rPr>
              <w:t>162,1</w:t>
            </w:r>
          </w:p>
        </w:tc>
        <w:tc>
          <w:tcPr>
            <w:tcW w:w="1418" w:type="dxa"/>
            <w:tcBorders>
              <w:top w:val="single" w:sz="4" w:space="0" w:color="000000"/>
              <w:left w:val="single" w:sz="4" w:space="0" w:color="000000"/>
              <w:bottom w:val="single" w:sz="4" w:space="0" w:color="000000"/>
              <w:right w:val="single" w:sz="4" w:space="0" w:color="000000"/>
            </w:tcBorders>
          </w:tcPr>
          <w:p w:rsidR="00055250" w:rsidRPr="00720DC2" w:rsidRDefault="00055250" w:rsidP="00D4778A">
            <w:pPr>
              <w:spacing w:line="256" w:lineRule="auto"/>
              <w:jc w:val="center"/>
              <w:rPr>
                <w:sz w:val="24"/>
                <w:szCs w:val="24"/>
                <w:lang w:val="uk-UA"/>
              </w:rPr>
            </w:pPr>
            <w:r w:rsidRPr="00720DC2">
              <w:rPr>
                <w:sz w:val="24"/>
                <w:szCs w:val="24"/>
                <w:lang w:val="uk-UA"/>
              </w:rPr>
              <w:t>165,7</w:t>
            </w:r>
          </w:p>
        </w:tc>
      </w:tr>
      <w:tr w:rsidR="00055250"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jc w:val="both"/>
              <w:rPr>
                <w:sz w:val="24"/>
                <w:szCs w:val="24"/>
                <w:lang w:val="uk-UA"/>
              </w:rPr>
            </w:pPr>
            <w:r w:rsidRPr="00720DC2">
              <w:rPr>
                <w:sz w:val="24"/>
                <w:szCs w:val="24"/>
                <w:lang w:val="uk-UA"/>
              </w:rPr>
              <w:t>-торгова площа на 1 тис.мешканців</w:t>
            </w:r>
          </w:p>
        </w:tc>
        <w:tc>
          <w:tcPr>
            <w:tcW w:w="1418"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jc w:val="both"/>
              <w:rPr>
                <w:sz w:val="24"/>
                <w:szCs w:val="24"/>
                <w:lang w:val="uk-UA"/>
              </w:rPr>
            </w:pPr>
            <w:r w:rsidRPr="00720DC2">
              <w:rPr>
                <w:sz w:val="24"/>
                <w:szCs w:val="24"/>
                <w:lang w:val="uk-UA"/>
              </w:rPr>
              <w:t>кв.м</w:t>
            </w:r>
          </w:p>
        </w:tc>
        <w:tc>
          <w:tcPr>
            <w:tcW w:w="1275"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jc w:val="center"/>
              <w:rPr>
                <w:sz w:val="24"/>
                <w:szCs w:val="24"/>
                <w:lang w:val="uk-UA"/>
              </w:rPr>
            </w:pPr>
            <w:r w:rsidRPr="00720DC2">
              <w:rPr>
                <w:sz w:val="24"/>
                <w:szCs w:val="24"/>
                <w:lang w:val="uk-UA"/>
              </w:rPr>
              <w:t>631</w:t>
            </w:r>
          </w:p>
        </w:tc>
        <w:tc>
          <w:tcPr>
            <w:tcW w:w="1418" w:type="dxa"/>
            <w:tcBorders>
              <w:top w:val="single" w:sz="4" w:space="0" w:color="000000"/>
              <w:left w:val="single" w:sz="4" w:space="0" w:color="000000"/>
              <w:bottom w:val="single" w:sz="4" w:space="0" w:color="000000"/>
              <w:right w:val="single" w:sz="4" w:space="0" w:color="000000"/>
            </w:tcBorders>
          </w:tcPr>
          <w:p w:rsidR="00055250" w:rsidRPr="00720DC2" w:rsidRDefault="00055250" w:rsidP="00D4778A">
            <w:pPr>
              <w:spacing w:line="256" w:lineRule="auto"/>
              <w:jc w:val="center"/>
              <w:rPr>
                <w:sz w:val="24"/>
                <w:szCs w:val="24"/>
                <w:lang w:val="uk-UA"/>
              </w:rPr>
            </w:pPr>
            <w:r w:rsidRPr="00720DC2">
              <w:rPr>
                <w:sz w:val="24"/>
                <w:szCs w:val="24"/>
                <w:lang w:val="uk-UA"/>
              </w:rPr>
              <w:t>637,8</w:t>
            </w:r>
          </w:p>
        </w:tc>
      </w:tr>
      <w:tr w:rsidR="00F00554"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jc w:val="both"/>
              <w:rPr>
                <w:sz w:val="24"/>
                <w:szCs w:val="24"/>
                <w:lang w:val="uk-UA"/>
              </w:rPr>
            </w:pPr>
            <w:r w:rsidRPr="00720DC2">
              <w:rPr>
                <w:sz w:val="24"/>
                <w:szCs w:val="24"/>
                <w:lang w:val="uk-UA"/>
              </w:rPr>
              <w:t>Об’єкти ресторанного господарства</w:t>
            </w:r>
          </w:p>
        </w:tc>
        <w:tc>
          <w:tcPr>
            <w:tcW w:w="1418"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pPr>
              <w:rPr>
                <w:lang w:val="uk-UA"/>
              </w:rPr>
            </w:pPr>
            <w:r w:rsidRPr="00720DC2">
              <w:rPr>
                <w:sz w:val="24"/>
                <w:szCs w:val="24"/>
                <w:lang w:val="uk-UA"/>
              </w:rPr>
              <w:t>одиниць</w:t>
            </w:r>
          </w:p>
        </w:tc>
        <w:tc>
          <w:tcPr>
            <w:tcW w:w="1275"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jc w:val="center"/>
              <w:rPr>
                <w:sz w:val="24"/>
                <w:szCs w:val="24"/>
                <w:lang w:val="uk-UA"/>
              </w:rPr>
            </w:pPr>
            <w:r w:rsidRPr="00720DC2">
              <w:rPr>
                <w:sz w:val="24"/>
                <w:szCs w:val="24"/>
                <w:lang w:val="uk-UA"/>
              </w:rPr>
              <w:t>680</w:t>
            </w:r>
          </w:p>
        </w:tc>
        <w:tc>
          <w:tcPr>
            <w:tcW w:w="1418" w:type="dxa"/>
            <w:tcBorders>
              <w:top w:val="single" w:sz="4" w:space="0" w:color="000000"/>
              <w:left w:val="single" w:sz="4" w:space="0" w:color="000000"/>
              <w:bottom w:val="single" w:sz="4" w:space="0" w:color="000000"/>
              <w:right w:val="single" w:sz="4" w:space="0" w:color="000000"/>
            </w:tcBorders>
          </w:tcPr>
          <w:p w:rsidR="00F00554" w:rsidRPr="00720DC2" w:rsidRDefault="00F00554" w:rsidP="00D4778A">
            <w:pPr>
              <w:spacing w:line="256" w:lineRule="auto"/>
              <w:jc w:val="center"/>
              <w:rPr>
                <w:sz w:val="24"/>
                <w:szCs w:val="24"/>
                <w:lang w:val="uk-UA"/>
              </w:rPr>
            </w:pPr>
            <w:r w:rsidRPr="00720DC2">
              <w:rPr>
                <w:sz w:val="24"/>
                <w:szCs w:val="24"/>
                <w:lang w:val="uk-UA"/>
              </w:rPr>
              <w:t>697</w:t>
            </w:r>
          </w:p>
        </w:tc>
      </w:tr>
      <w:tr w:rsidR="00F00554"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rPr>
                <w:sz w:val="24"/>
                <w:szCs w:val="24"/>
                <w:lang w:val="uk-UA"/>
              </w:rPr>
            </w:pPr>
            <w:r w:rsidRPr="00720DC2">
              <w:rPr>
                <w:sz w:val="24"/>
                <w:szCs w:val="24"/>
                <w:lang w:val="uk-UA"/>
              </w:rPr>
              <w:t>- кількість посадкових місць</w:t>
            </w:r>
          </w:p>
        </w:tc>
        <w:tc>
          <w:tcPr>
            <w:tcW w:w="1418"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pPr>
              <w:rPr>
                <w:lang w:val="uk-UA"/>
              </w:rPr>
            </w:pPr>
            <w:r w:rsidRPr="00720DC2">
              <w:rPr>
                <w:sz w:val="24"/>
                <w:szCs w:val="24"/>
                <w:lang w:val="uk-UA"/>
              </w:rPr>
              <w:t>одиниць</w:t>
            </w:r>
          </w:p>
        </w:tc>
        <w:tc>
          <w:tcPr>
            <w:tcW w:w="1275"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jc w:val="center"/>
              <w:rPr>
                <w:sz w:val="24"/>
                <w:szCs w:val="24"/>
                <w:lang w:val="uk-UA"/>
              </w:rPr>
            </w:pPr>
            <w:r w:rsidRPr="00720DC2">
              <w:rPr>
                <w:sz w:val="24"/>
                <w:szCs w:val="24"/>
                <w:lang w:val="uk-UA"/>
              </w:rPr>
              <w:t>38058</w:t>
            </w:r>
          </w:p>
        </w:tc>
        <w:tc>
          <w:tcPr>
            <w:tcW w:w="1418" w:type="dxa"/>
            <w:tcBorders>
              <w:top w:val="single" w:sz="4" w:space="0" w:color="000000"/>
              <w:left w:val="single" w:sz="4" w:space="0" w:color="000000"/>
              <w:bottom w:val="single" w:sz="4" w:space="0" w:color="000000"/>
              <w:right w:val="single" w:sz="4" w:space="0" w:color="000000"/>
            </w:tcBorders>
          </w:tcPr>
          <w:p w:rsidR="00F00554" w:rsidRPr="00720DC2" w:rsidRDefault="00F00554" w:rsidP="00D4778A">
            <w:pPr>
              <w:spacing w:line="256" w:lineRule="auto"/>
              <w:jc w:val="center"/>
              <w:rPr>
                <w:sz w:val="24"/>
                <w:szCs w:val="24"/>
                <w:lang w:val="uk-UA"/>
              </w:rPr>
            </w:pPr>
            <w:r w:rsidRPr="00720DC2">
              <w:rPr>
                <w:sz w:val="24"/>
                <w:szCs w:val="24"/>
                <w:lang w:val="uk-UA"/>
              </w:rPr>
              <w:t>38693</w:t>
            </w:r>
          </w:p>
        </w:tc>
      </w:tr>
      <w:tr w:rsidR="00F00554"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rPr>
                <w:sz w:val="24"/>
                <w:szCs w:val="24"/>
                <w:lang w:val="uk-UA"/>
              </w:rPr>
            </w:pPr>
            <w:r w:rsidRPr="00720DC2">
              <w:rPr>
                <w:sz w:val="24"/>
                <w:szCs w:val="24"/>
                <w:lang w:val="uk-UA"/>
              </w:rPr>
              <w:t>- кількість посадкових місць на 1 тис. мешканців</w:t>
            </w:r>
          </w:p>
        </w:tc>
        <w:tc>
          <w:tcPr>
            <w:tcW w:w="1418"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pPr>
              <w:rPr>
                <w:lang w:val="uk-UA"/>
              </w:rPr>
            </w:pPr>
            <w:r w:rsidRPr="00720DC2">
              <w:rPr>
                <w:sz w:val="24"/>
                <w:szCs w:val="24"/>
                <w:lang w:val="uk-UA"/>
              </w:rPr>
              <w:t>одиниць</w:t>
            </w:r>
          </w:p>
        </w:tc>
        <w:tc>
          <w:tcPr>
            <w:tcW w:w="1275"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jc w:val="center"/>
              <w:rPr>
                <w:sz w:val="24"/>
                <w:szCs w:val="24"/>
                <w:lang w:val="uk-UA"/>
              </w:rPr>
            </w:pPr>
            <w:r w:rsidRPr="00720DC2">
              <w:rPr>
                <w:sz w:val="24"/>
                <w:szCs w:val="24"/>
                <w:lang w:val="uk-UA"/>
              </w:rPr>
              <w:t>152,5</w:t>
            </w:r>
          </w:p>
        </w:tc>
        <w:tc>
          <w:tcPr>
            <w:tcW w:w="1418" w:type="dxa"/>
            <w:tcBorders>
              <w:top w:val="single" w:sz="4" w:space="0" w:color="000000"/>
              <w:left w:val="single" w:sz="4" w:space="0" w:color="000000"/>
              <w:bottom w:val="single" w:sz="4" w:space="0" w:color="000000"/>
              <w:right w:val="single" w:sz="4" w:space="0" w:color="000000"/>
            </w:tcBorders>
          </w:tcPr>
          <w:p w:rsidR="00F00554" w:rsidRPr="00720DC2" w:rsidRDefault="00F00554" w:rsidP="00D4778A">
            <w:pPr>
              <w:spacing w:line="256" w:lineRule="auto"/>
              <w:jc w:val="center"/>
              <w:rPr>
                <w:sz w:val="24"/>
                <w:szCs w:val="24"/>
                <w:lang w:val="uk-UA"/>
              </w:rPr>
            </w:pPr>
            <w:r w:rsidRPr="00720DC2">
              <w:rPr>
                <w:sz w:val="24"/>
                <w:szCs w:val="24"/>
                <w:lang w:val="uk-UA"/>
              </w:rPr>
              <w:t>148,9</w:t>
            </w:r>
          </w:p>
        </w:tc>
      </w:tr>
      <w:tr w:rsidR="00F00554"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jc w:val="both"/>
              <w:rPr>
                <w:sz w:val="24"/>
                <w:szCs w:val="24"/>
                <w:lang w:val="uk-UA"/>
              </w:rPr>
            </w:pPr>
            <w:r w:rsidRPr="00720DC2">
              <w:rPr>
                <w:sz w:val="24"/>
                <w:szCs w:val="24"/>
                <w:lang w:val="uk-UA"/>
              </w:rPr>
              <w:t>Об’єкти побутового обслуговування</w:t>
            </w:r>
          </w:p>
        </w:tc>
        <w:tc>
          <w:tcPr>
            <w:tcW w:w="1418"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pPr>
              <w:rPr>
                <w:lang w:val="uk-UA"/>
              </w:rPr>
            </w:pPr>
            <w:r w:rsidRPr="00720DC2">
              <w:rPr>
                <w:sz w:val="24"/>
                <w:szCs w:val="24"/>
                <w:lang w:val="uk-UA"/>
              </w:rPr>
              <w:t>одиниць</w:t>
            </w:r>
          </w:p>
        </w:tc>
        <w:tc>
          <w:tcPr>
            <w:tcW w:w="1275"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jc w:val="center"/>
              <w:rPr>
                <w:sz w:val="24"/>
                <w:szCs w:val="24"/>
                <w:lang w:val="uk-UA"/>
              </w:rPr>
            </w:pPr>
            <w:r w:rsidRPr="00720DC2">
              <w:rPr>
                <w:sz w:val="24"/>
                <w:szCs w:val="24"/>
                <w:lang w:val="uk-UA"/>
              </w:rPr>
              <w:t>395</w:t>
            </w:r>
          </w:p>
        </w:tc>
        <w:tc>
          <w:tcPr>
            <w:tcW w:w="1418" w:type="dxa"/>
            <w:tcBorders>
              <w:top w:val="single" w:sz="4" w:space="0" w:color="000000"/>
              <w:left w:val="single" w:sz="4" w:space="0" w:color="000000"/>
              <w:bottom w:val="single" w:sz="4" w:space="0" w:color="000000"/>
              <w:right w:val="single" w:sz="4" w:space="0" w:color="000000"/>
            </w:tcBorders>
          </w:tcPr>
          <w:p w:rsidR="00F00554" w:rsidRPr="00720DC2" w:rsidRDefault="00F00554" w:rsidP="00D4778A">
            <w:pPr>
              <w:spacing w:line="256" w:lineRule="auto"/>
              <w:jc w:val="center"/>
              <w:rPr>
                <w:sz w:val="24"/>
                <w:szCs w:val="24"/>
                <w:lang w:val="uk-UA"/>
              </w:rPr>
            </w:pPr>
            <w:r w:rsidRPr="00720DC2">
              <w:rPr>
                <w:sz w:val="24"/>
                <w:szCs w:val="24"/>
                <w:lang w:val="uk-UA"/>
              </w:rPr>
              <w:t>398</w:t>
            </w:r>
          </w:p>
        </w:tc>
      </w:tr>
      <w:tr w:rsidR="00055250"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055250" w:rsidRPr="00720DC2" w:rsidRDefault="00055250" w:rsidP="00D4778A">
            <w:pPr>
              <w:spacing w:line="256" w:lineRule="auto"/>
              <w:jc w:val="both"/>
              <w:rPr>
                <w:b/>
                <w:i/>
                <w:sz w:val="24"/>
                <w:szCs w:val="24"/>
                <w:lang w:val="uk-UA"/>
              </w:rPr>
            </w:pPr>
            <w:r w:rsidRPr="00720DC2">
              <w:rPr>
                <w:b/>
                <w:i/>
                <w:sz w:val="24"/>
                <w:szCs w:val="24"/>
                <w:lang w:val="uk-UA"/>
              </w:rPr>
              <w:t>Ринки</w:t>
            </w:r>
          </w:p>
        </w:tc>
        <w:tc>
          <w:tcPr>
            <w:tcW w:w="1418" w:type="dxa"/>
            <w:tcBorders>
              <w:top w:val="single" w:sz="4" w:space="0" w:color="000000"/>
              <w:left w:val="single" w:sz="4" w:space="0" w:color="000000"/>
              <w:bottom w:val="single" w:sz="4" w:space="0" w:color="000000"/>
              <w:right w:val="single" w:sz="4" w:space="0" w:color="000000"/>
            </w:tcBorders>
          </w:tcPr>
          <w:p w:rsidR="00055250" w:rsidRPr="00720DC2" w:rsidRDefault="00055250" w:rsidP="00D4778A">
            <w:pPr>
              <w:spacing w:line="256" w:lineRule="auto"/>
              <w:jc w:val="both"/>
              <w:rPr>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055250" w:rsidRPr="00720DC2" w:rsidRDefault="00055250" w:rsidP="00D4778A">
            <w:pPr>
              <w:spacing w:line="256" w:lineRule="auto"/>
              <w:jc w:val="center"/>
              <w:rPr>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rsidR="00055250" w:rsidRPr="00720DC2" w:rsidRDefault="00055250" w:rsidP="00D4778A">
            <w:pPr>
              <w:spacing w:line="256" w:lineRule="auto"/>
              <w:jc w:val="center"/>
              <w:rPr>
                <w:sz w:val="24"/>
                <w:szCs w:val="24"/>
                <w:lang w:val="uk-UA"/>
              </w:rPr>
            </w:pPr>
          </w:p>
        </w:tc>
      </w:tr>
      <w:tr w:rsidR="00F00554"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rPr>
                <w:sz w:val="24"/>
                <w:szCs w:val="24"/>
                <w:lang w:val="uk-UA"/>
              </w:rPr>
            </w:pPr>
            <w:r w:rsidRPr="00720DC2">
              <w:rPr>
                <w:sz w:val="24"/>
                <w:szCs w:val="24"/>
                <w:lang w:val="uk-UA"/>
              </w:rPr>
              <w:t>- кількість ринків</w:t>
            </w:r>
          </w:p>
        </w:tc>
        <w:tc>
          <w:tcPr>
            <w:tcW w:w="1418"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pPr>
              <w:rPr>
                <w:lang w:val="uk-UA"/>
              </w:rPr>
            </w:pPr>
            <w:r w:rsidRPr="00720DC2">
              <w:rPr>
                <w:sz w:val="24"/>
                <w:szCs w:val="24"/>
                <w:lang w:val="uk-UA"/>
              </w:rPr>
              <w:t>одиниць</w:t>
            </w:r>
          </w:p>
        </w:tc>
        <w:tc>
          <w:tcPr>
            <w:tcW w:w="1275"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jc w:val="center"/>
              <w:rPr>
                <w:sz w:val="24"/>
                <w:szCs w:val="24"/>
                <w:lang w:val="uk-UA"/>
              </w:rPr>
            </w:pPr>
            <w:r w:rsidRPr="00720DC2">
              <w:rPr>
                <w:sz w:val="24"/>
                <w:szCs w:val="24"/>
                <w:lang w:val="uk-UA"/>
              </w:rPr>
              <w:t>15</w:t>
            </w:r>
          </w:p>
        </w:tc>
        <w:tc>
          <w:tcPr>
            <w:tcW w:w="1418" w:type="dxa"/>
            <w:tcBorders>
              <w:top w:val="single" w:sz="4" w:space="0" w:color="000000"/>
              <w:left w:val="single" w:sz="4" w:space="0" w:color="000000"/>
              <w:bottom w:val="single" w:sz="4" w:space="0" w:color="000000"/>
              <w:right w:val="single" w:sz="4" w:space="0" w:color="000000"/>
            </w:tcBorders>
          </w:tcPr>
          <w:p w:rsidR="00F00554" w:rsidRPr="00720DC2" w:rsidRDefault="00F00554" w:rsidP="00D4778A">
            <w:pPr>
              <w:spacing w:line="256" w:lineRule="auto"/>
              <w:jc w:val="center"/>
              <w:rPr>
                <w:sz w:val="24"/>
                <w:szCs w:val="24"/>
                <w:lang w:val="uk-UA"/>
              </w:rPr>
            </w:pPr>
            <w:r w:rsidRPr="00720DC2">
              <w:rPr>
                <w:sz w:val="24"/>
                <w:szCs w:val="24"/>
                <w:lang w:val="uk-UA"/>
              </w:rPr>
              <w:t>13</w:t>
            </w:r>
          </w:p>
        </w:tc>
      </w:tr>
      <w:tr w:rsidR="00F00554" w:rsidRPr="00720DC2" w:rsidTr="003C3A9E">
        <w:tc>
          <w:tcPr>
            <w:tcW w:w="5353"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rPr>
                <w:sz w:val="24"/>
                <w:szCs w:val="24"/>
                <w:lang w:val="uk-UA"/>
              </w:rPr>
            </w:pPr>
            <w:r w:rsidRPr="00720DC2">
              <w:rPr>
                <w:sz w:val="24"/>
                <w:szCs w:val="24"/>
                <w:lang w:val="uk-UA"/>
              </w:rPr>
              <w:t>- кількість торгових місць</w:t>
            </w:r>
          </w:p>
        </w:tc>
        <w:tc>
          <w:tcPr>
            <w:tcW w:w="1418"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pPr>
              <w:rPr>
                <w:lang w:val="uk-UA"/>
              </w:rPr>
            </w:pPr>
            <w:r w:rsidRPr="00720DC2">
              <w:rPr>
                <w:sz w:val="24"/>
                <w:szCs w:val="24"/>
                <w:lang w:val="uk-UA"/>
              </w:rPr>
              <w:t>одиниць</w:t>
            </w:r>
          </w:p>
        </w:tc>
        <w:tc>
          <w:tcPr>
            <w:tcW w:w="1275" w:type="dxa"/>
            <w:tcBorders>
              <w:top w:val="single" w:sz="4" w:space="0" w:color="000000"/>
              <w:left w:val="single" w:sz="4" w:space="0" w:color="000000"/>
              <w:bottom w:val="single" w:sz="4" w:space="0" w:color="000000"/>
              <w:right w:val="single" w:sz="4" w:space="0" w:color="000000"/>
            </w:tcBorders>
            <w:hideMark/>
          </w:tcPr>
          <w:p w:rsidR="00F00554" w:rsidRPr="00720DC2" w:rsidRDefault="00F00554" w:rsidP="00D4778A">
            <w:pPr>
              <w:spacing w:line="256" w:lineRule="auto"/>
              <w:jc w:val="center"/>
              <w:rPr>
                <w:sz w:val="24"/>
                <w:szCs w:val="24"/>
                <w:lang w:val="uk-UA"/>
              </w:rPr>
            </w:pPr>
            <w:r w:rsidRPr="00720DC2">
              <w:rPr>
                <w:sz w:val="24"/>
                <w:szCs w:val="24"/>
                <w:lang w:val="uk-UA"/>
              </w:rPr>
              <w:t>3810</w:t>
            </w:r>
          </w:p>
        </w:tc>
        <w:tc>
          <w:tcPr>
            <w:tcW w:w="1418" w:type="dxa"/>
            <w:tcBorders>
              <w:top w:val="single" w:sz="4" w:space="0" w:color="000000"/>
              <w:left w:val="single" w:sz="4" w:space="0" w:color="000000"/>
              <w:bottom w:val="single" w:sz="4" w:space="0" w:color="000000"/>
              <w:right w:val="single" w:sz="4" w:space="0" w:color="000000"/>
            </w:tcBorders>
          </w:tcPr>
          <w:p w:rsidR="00F00554" w:rsidRPr="00720DC2" w:rsidRDefault="00F00554" w:rsidP="00D4778A">
            <w:pPr>
              <w:spacing w:line="256" w:lineRule="auto"/>
              <w:jc w:val="center"/>
              <w:rPr>
                <w:sz w:val="24"/>
                <w:szCs w:val="24"/>
                <w:lang w:val="uk-UA"/>
              </w:rPr>
            </w:pPr>
            <w:r w:rsidRPr="00720DC2">
              <w:rPr>
                <w:sz w:val="24"/>
                <w:szCs w:val="24"/>
                <w:lang w:val="uk-UA"/>
              </w:rPr>
              <w:t>3577</w:t>
            </w:r>
          </w:p>
        </w:tc>
      </w:tr>
    </w:tbl>
    <w:p w:rsidR="004F3652" w:rsidRPr="00720DC2" w:rsidRDefault="004F3652" w:rsidP="004F3652">
      <w:pPr>
        <w:ind w:firstLine="708"/>
        <w:jc w:val="both"/>
        <w:rPr>
          <w:lang w:val="uk-UA"/>
        </w:rPr>
      </w:pPr>
      <w:r w:rsidRPr="00720DC2">
        <w:rPr>
          <w:lang w:val="uk-UA"/>
        </w:rPr>
        <w:t xml:space="preserve">За звітний період на території міста відкрились  9 супермаркетів </w:t>
      </w:r>
      <w:r w:rsidR="00D4778A" w:rsidRPr="00720DC2">
        <w:rPr>
          <w:lang w:val="uk-UA"/>
        </w:rPr>
        <w:t>"</w:t>
      </w:r>
      <w:r w:rsidRPr="00720DC2">
        <w:rPr>
          <w:lang w:val="uk-UA"/>
        </w:rPr>
        <w:t>АТБ- Маркет</w:t>
      </w:r>
      <w:r w:rsidR="00D4778A" w:rsidRPr="00720DC2">
        <w:rPr>
          <w:lang w:val="uk-UA"/>
        </w:rPr>
        <w:t>"</w:t>
      </w:r>
      <w:r w:rsidRPr="00720DC2">
        <w:rPr>
          <w:lang w:val="uk-UA"/>
        </w:rPr>
        <w:t xml:space="preserve">, кожний з яких площею понад 800 кв.м, 17 закладів ресторанного господарства, 4 підприємства побутового обслуговування, в результаті чого створено додатково 364 робочих місць.  </w:t>
      </w:r>
    </w:p>
    <w:p w:rsidR="004F3652" w:rsidRPr="00720DC2" w:rsidRDefault="004F3652" w:rsidP="007102FA">
      <w:pPr>
        <w:ind w:firstLine="708"/>
        <w:jc w:val="both"/>
        <w:rPr>
          <w:color w:val="000000"/>
          <w:shd w:val="clear" w:color="auto" w:fill="FFFFFF"/>
          <w:lang w:val="uk-UA"/>
        </w:rPr>
      </w:pPr>
      <w:r w:rsidRPr="00720DC2">
        <w:rPr>
          <w:lang w:val="uk-UA"/>
        </w:rPr>
        <w:t xml:space="preserve">Відповідно до Положення </w:t>
      </w:r>
      <w:r w:rsidR="00D4778A" w:rsidRPr="00720DC2">
        <w:rPr>
          <w:lang w:val="uk-UA"/>
        </w:rPr>
        <w:t>"</w:t>
      </w:r>
      <w:r w:rsidRPr="00720DC2">
        <w:rPr>
          <w:lang w:val="uk-UA"/>
        </w:rPr>
        <w:t>Про тимчасове користування окремими елементами благоустрою комунальної власності для розміщення тимчасових споруд для провадження підприємницької діяльності, торгових майданчиків, стаціонарних атракціонів та тимчасових гаражів</w:t>
      </w:r>
      <w:r w:rsidR="00D4778A" w:rsidRPr="00720DC2">
        <w:rPr>
          <w:lang w:val="uk-UA"/>
        </w:rPr>
        <w:t>"</w:t>
      </w:r>
      <w:r w:rsidRPr="00720DC2">
        <w:rPr>
          <w:lang w:val="uk-UA"/>
        </w:rPr>
        <w:t xml:space="preserve"> за розміщення об’єктів дрібнороздрібної торгівлі та надання послуг у сфері розваг до міського бюджету суб’єктами господарювання сплачено 914,4 тис.грн. </w:t>
      </w:r>
    </w:p>
    <w:p w:rsidR="004F3652" w:rsidRPr="00720DC2" w:rsidRDefault="00F1263F" w:rsidP="007102FA">
      <w:pPr>
        <w:ind w:firstLine="708"/>
        <w:jc w:val="both"/>
        <w:rPr>
          <w:lang w:val="uk-UA"/>
        </w:rPr>
      </w:pPr>
      <w:r w:rsidRPr="00720DC2">
        <w:rPr>
          <w:lang w:val="uk-UA"/>
        </w:rPr>
        <w:t>У</w:t>
      </w:r>
      <w:r w:rsidR="004F3652" w:rsidRPr="00720DC2">
        <w:rPr>
          <w:lang w:val="uk-UA"/>
        </w:rPr>
        <w:t xml:space="preserve"> </w:t>
      </w:r>
      <w:r w:rsidRPr="00720DC2">
        <w:rPr>
          <w:lang w:val="uk-UA"/>
        </w:rPr>
        <w:t>звітному році</w:t>
      </w:r>
      <w:r w:rsidR="004F3652" w:rsidRPr="00720DC2">
        <w:rPr>
          <w:lang w:val="uk-UA"/>
        </w:rPr>
        <w:t xml:space="preserve"> проводилось адміністрування договорів на право тимчасового користування елементами благоустрою для розміщення тимчасових споруд,  літніх та всесезонних торгових майданчиків, загальна кількість яких становить 498. За тимчасове користування елементами благоустрою до міського бюджету  </w:t>
      </w:r>
      <w:r w:rsidRPr="00720DC2">
        <w:rPr>
          <w:lang w:val="uk-UA"/>
        </w:rPr>
        <w:t>надійшло 3 млн</w:t>
      </w:r>
      <w:r w:rsidR="004F3652" w:rsidRPr="00720DC2">
        <w:rPr>
          <w:lang w:val="uk-UA"/>
        </w:rPr>
        <w:t xml:space="preserve"> 349,7 тис. грн.</w:t>
      </w:r>
      <w:r w:rsidRPr="00720DC2">
        <w:rPr>
          <w:lang w:val="uk-UA"/>
        </w:rPr>
        <w:t xml:space="preserve"> </w:t>
      </w:r>
      <w:r w:rsidR="004F3652" w:rsidRPr="00720DC2">
        <w:rPr>
          <w:lang w:val="uk-UA"/>
        </w:rPr>
        <w:t>Всього до міського бюджету надійшло коштів на суму 4</w:t>
      </w:r>
      <w:r w:rsidR="001D2B22" w:rsidRPr="00720DC2">
        <w:rPr>
          <w:lang w:val="uk-UA"/>
        </w:rPr>
        <w:t>,3</w:t>
      </w:r>
      <w:r w:rsidRPr="00720DC2">
        <w:rPr>
          <w:lang w:val="uk-UA"/>
        </w:rPr>
        <w:t xml:space="preserve"> млн </w:t>
      </w:r>
      <w:r w:rsidR="004F3652" w:rsidRPr="00720DC2">
        <w:rPr>
          <w:lang w:val="uk-UA"/>
        </w:rPr>
        <w:t>грн.</w:t>
      </w:r>
    </w:p>
    <w:p w:rsidR="004F3652" w:rsidRPr="00720DC2" w:rsidRDefault="004F3652" w:rsidP="004F3652">
      <w:pPr>
        <w:jc w:val="both"/>
        <w:rPr>
          <w:lang w:val="uk-UA"/>
        </w:rPr>
      </w:pPr>
      <w:r w:rsidRPr="00720DC2">
        <w:rPr>
          <w:lang w:val="uk-UA"/>
        </w:rPr>
        <w:lastRenderedPageBreak/>
        <w:tab/>
        <w:t xml:space="preserve">На офіційному сайті міста створено додатково розділ  </w:t>
      </w:r>
      <w:r w:rsidR="00D4778A" w:rsidRPr="00720DC2">
        <w:rPr>
          <w:lang w:val="uk-UA"/>
        </w:rPr>
        <w:t>"</w:t>
      </w:r>
      <w:r w:rsidRPr="00720DC2">
        <w:rPr>
          <w:lang w:val="uk-UA"/>
        </w:rPr>
        <w:t>Захист прав споживачів</w:t>
      </w:r>
      <w:r w:rsidR="00D4778A" w:rsidRPr="00720DC2">
        <w:rPr>
          <w:lang w:val="uk-UA"/>
        </w:rPr>
        <w:t>"</w:t>
      </w:r>
      <w:r w:rsidRPr="00720DC2">
        <w:rPr>
          <w:lang w:val="uk-UA"/>
        </w:rPr>
        <w:t xml:space="preserve">, в якому  висвітлюється актуальна  інформація щодо захисту прав споживачів.   </w:t>
      </w:r>
    </w:p>
    <w:p w:rsidR="00930096" w:rsidRDefault="00930096" w:rsidP="00183E22">
      <w:pPr>
        <w:pStyle w:val="a3"/>
        <w:tabs>
          <w:tab w:val="left" w:pos="0"/>
          <w:tab w:val="left" w:pos="7230"/>
          <w:tab w:val="left" w:pos="7797"/>
          <w:tab w:val="left" w:pos="7938"/>
          <w:tab w:val="left" w:pos="8364"/>
        </w:tabs>
        <w:ind w:firstLine="851"/>
        <w:outlineLvl w:val="0"/>
        <w:rPr>
          <w:i/>
          <w:sz w:val="28"/>
          <w:szCs w:val="28"/>
          <w:lang w:val="uk-UA"/>
        </w:rPr>
      </w:pPr>
    </w:p>
    <w:p w:rsidR="00183E22" w:rsidRPr="00720DC2" w:rsidRDefault="00183E22" w:rsidP="00183E22">
      <w:pPr>
        <w:pStyle w:val="a3"/>
        <w:tabs>
          <w:tab w:val="left" w:pos="0"/>
          <w:tab w:val="left" w:pos="7230"/>
          <w:tab w:val="left" w:pos="7797"/>
          <w:tab w:val="left" w:pos="7938"/>
          <w:tab w:val="left" w:pos="8364"/>
        </w:tabs>
        <w:ind w:firstLine="851"/>
        <w:outlineLvl w:val="0"/>
        <w:rPr>
          <w:i/>
          <w:sz w:val="28"/>
          <w:szCs w:val="28"/>
          <w:lang w:val="uk-UA"/>
        </w:rPr>
      </w:pPr>
      <w:r w:rsidRPr="00720DC2">
        <w:rPr>
          <w:i/>
          <w:sz w:val="28"/>
          <w:szCs w:val="28"/>
          <w:lang w:val="uk-UA"/>
        </w:rPr>
        <w:t>3.3 Регуляторна політика та розвиток підприємництва</w:t>
      </w:r>
    </w:p>
    <w:p w:rsidR="007978C4" w:rsidRPr="00720DC2" w:rsidRDefault="007978C4" w:rsidP="007978C4">
      <w:pPr>
        <w:ind w:left="57" w:firstLine="570"/>
        <w:jc w:val="both"/>
        <w:rPr>
          <w:bCs/>
          <w:lang w:val="uk-UA"/>
        </w:rPr>
      </w:pPr>
      <w:r w:rsidRPr="00720DC2">
        <w:rPr>
          <w:bCs/>
          <w:lang w:val="uk-UA"/>
        </w:rPr>
        <w:t xml:space="preserve">На  підставі  Планів  з  підготовки  регуляторних  актів  на  2018 рік забезпечено належну підготовку структурними підрозділами міської ради, її виконавчого комітету 25 проектів регуляторних актів, з них прийнято 12 регуляторних актів, у тому числі 4 рішення міської ради, 8 регуляторних актів перебувають у процедурі розгляду та прийняття, проведено 22 відкритих громадських обговорень відповідно. </w:t>
      </w:r>
    </w:p>
    <w:p w:rsidR="007978C4" w:rsidRPr="00720DC2" w:rsidRDefault="007978C4" w:rsidP="007978C4">
      <w:pPr>
        <w:ind w:left="57" w:firstLine="570"/>
        <w:jc w:val="both"/>
        <w:rPr>
          <w:bCs/>
          <w:lang w:val="uk-UA"/>
        </w:rPr>
      </w:pPr>
      <w:r w:rsidRPr="00720DC2">
        <w:rPr>
          <w:bCs/>
          <w:lang w:val="uk-UA"/>
        </w:rPr>
        <w:t>Погодження проектів регуляторних актів – рішень міської ради здійснено в Державній регуляторній службі України.</w:t>
      </w:r>
    </w:p>
    <w:p w:rsidR="007978C4" w:rsidRPr="00720DC2" w:rsidRDefault="00183E22" w:rsidP="007978C4">
      <w:pPr>
        <w:ind w:left="57" w:firstLine="570"/>
        <w:jc w:val="both"/>
        <w:rPr>
          <w:bCs/>
          <w:lang w:val="uk-UA"/>
        </w:rPr>
      </w:pPr>
      <w:r w:rsidRPr="00720DC2">
        <w:rPr>
          <w:bCs/>
          <w:lang w:val="uk-UA"/>
        </w:rPr>
        <w:t xml:space="preserve">На офіційній сторінці виконавчого комітету міської ради у розділі  </w:t>
      </w:r>
      <w:r w:rsidR="00D4778A" w:rsidRPr="00720DC2">
        <w:rPr>
          <w:bCs/>
          <w:lang w:val="uk-UA"/>
        </w:rPr>
        <w:t>"</w:t>
      </w:r>
      <w:r w:rsidRPr="00720DC2">
        <w:rPr>
          <w:bCs/>
          <w:lang w:val="uk-UA"/>
        </w:rPr>
        <w:t>Регуляторна політика</w:t>
      </w:r>
      <w:r w:rsidR="00D4778A" w:rsidRPr="00720DC2">
        <w:rPr>
          <w:bCs/>
          <w:lang w:val="uk-UA"/>
        </w:rPr>
        <w:t>"</w:t>
      </w:r>
      <w:r w:rsidRPr="00720DC2">
        <w:rPr>
          <w:bCs/>
          <w:lang w:val="uk-UA"/>
        </w:rPr>
        <w:t xml:space="preserve"> розміщено інформацію про регуляторну діяльність виконавчого комітету, в тому числі План з підготовки  регуляторних  актів  на  2018 рік (зі змінами). Оголошення про відкриті громадські обговорення публікувались в газеті </w:t>
      </w:r>
      <w:r w:rsidR="00D4778A" w:rsidRPr="00720DC2">
        <w:rPr>
          <w:bCs/>
          <w:lang w:val="uk-UA"/>
        </w:rPr>
        <w:t>"</w:t>
      </w:r>
      <w:r w:rsidRPr="00720DC2">
        <w:rPr>
          <w:bCs/>
          <w:lang w:val="uk-UA"/>
        </w:rPr>
        <w:t>Західний кур’єр</w:t>
      </w:r>
      <w:r w:rsidR="00D4778A" w:rsidRPr="00720DC2">
        <w:rPr>
          <w:bCs/>
          <w:lang w:val="uk-UA"/>
        </w:rPr>
        <w:t>"</w:t>
      </w:r>
      <w:r w:rsidRPr="00720DC2">
        <w:rPr>
          <w:bCs/>
          <w:lang w:val="uk-UA"/>
        </w:rPr>
        <w:t xml:space="preserve">. </w:t>
      </w:r>
      <w:r w:rsidR="007978C4" w:rsidRPr="00720DC2">
        <w:rPr>
          <w:bCs/>
          <w:lang w:val="uk-UA"/>
        </w:rPr>
        <w:t>Відповідно до плану-графіку проведено відстеження результативності регуляторних актів у 2018 році з метою оцінки стану впровадження  регуляторних актів та досягнення  ними  цілей, задекларован</w:t>
      </w:r>
      <w:r w:rsidR="00722640">
        <w:rPr>
          <w:bCs/>
          <w:lang w:val="uk-UA"/>
        </w:rPr>
        <w:t>их при їх прийнятті.</w:t>
      </w:r>
      <w:r w:rsidR="007978C4" w:rsidRPr="00720DC2">
        <w:rPr>
          <w:bCs/>
          <w:lang w:val="uk-UA"/>
        </w:rPr>
        <w:t xml:space="preserve"> </w:t>
      </w:r>
      <w:r w:rsidR="00722640">
        <w:rPr>
          <w:bCs/>
          <w:lang w:val="uk-UA"/>
        </w:rPr>
        <w:t>З</w:t>
      </w:r>
      <w:r w:rsidR="007978C4" w:rsidRPr="00720DC2">
        <w:rPr>
          <w:bCs/>
          <w:lang w:val="uk-UA"/>
        </w:rPr>
        <w:t xml:space="preserve">дійснено 29 відстежень результативності регуляторних  актів,  з  них  14 – базові,  15 – повторні. </w:t>
      </w:r>
    </w:p>
    <w:p w:rsidR="007978C4" w:rsidRPr="00720DC2" w:rsidRDefault="007978C4" w:rsidP="00F1263F">
      <w:pPr>
        <w:spacing w:before="240"/>
        <w:ind w:firstLine="709"/>
        <w:jc w:val="both"/>
        <w:rPr>
          <w:lang w:val="uk-UA"/>
        </w:rPr>
      </w:pPr>
      <w:r w:rsidRPr="00720DC2">
        <w:rPr>
          <w:lang w:val="uk-UA"/>
        </w:rPr>
        <w:t>В Івано-Франківську створено сприятливі умови для розвитку бізнесу. Зокрема на території міста працює 3559 економічно активних підприємств - суб’єктів господарської діяльності (на 350 підприємств більше, ніж у попередньому році). Частка у загальній кількості підприємств: великих підприємств – 0,1%, середніх - 3,5%, малих - 96,4%.</w:t>
      </w:r>
    </w:p>
    <w:p w:rsidR="002C625F" w:rsidRDefault="007978C4" w:rsidP="007978C4">
      <w:pPr>
        <w:ind w:firstLine="709"/>
        <w:jc w:val="both"/>
        <w:rPr>
          <w:lang w:val="uk-UA"/>
        </w:rPr>
      </w:pPr>
      <w:r w:rsidRPr="00720DC2">
        <w:rPr>
          <w:noProof/>
          <w:lang w:val="uk-UA" w:eastAsia="uk-UA"/>
        </w:rPr>
        <w:drawing>
          <wp:anchor distT="0" distB="0" distL="114300" distR="114300" simplePos="0" relativeHeight="251665408" behindDoc="0" locked="0" layoutInCell="1" allowOverlap="1" wp14:anchorId="00C7781F" wp14:editId="7F57ECC3">
            <wp:simplePos x="0" y="0"/>
            <wp:positionH relativeFrom="column">
              <wp:posOffset>46355</wp:posOffset>
            </wp:positionH>
            <wp:positionV relativeFrom="paragraph">
              <wp:posOffset>1211580</wp:posOffset>
            </wp:positionV>
            <wp:extent cx="5943600" cy="2395220"/>
            <wp:effectExtent l="0" t="0" r="0" b="0"/>
            <wp:wrapSquare wrapText="bothSides"/>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720DC2">
        <w:rPr>
          <w:lang w:val="uk-UA"/>
        </w:rPr>
        <w:t>Варто зазначити, що Івано-Франківськ за кількістю малих підприємств на 10 тис. наявного населення займає 5 місце</w:t>
      </w:r>
      <w:r w:rsidR="00722640">
        <w:rPr>
          <w:lang w:val="uk-UA"/>
        </w:rPr>
        <w:t xml:space="preserve"> серед обласних центрів України,</w:t>
      </w:r>
      <w:r w:rsidRPr="00720DC2">
        <w:rPr>
          <w:lang w:val="uk-UA"/>
        </w:rPr>
        <w:t xml:space="preserve"> </w:t>
      </w:r>
      <w:r w:rsidR="00722640">
        <w:rPr>
          <w:lang w:val="uk-UA"/>
        </w:rPr>
        <w:t>а</w:t>
      </w:r>
      <w:r w:rsidRPr="00720DC2">
        <w:rPr>
          <w:lang w:val="uk-UA"/>
        </w:rPr>
        <w:t xml:space="preserve"> також перше місце за кількістю малих і середніх підприємств на 10 тисяч населення серед обласних центрів з аналогічною чисельністю населення.</w:t>
      </w:r>
    </w:p>
    <w:p w:rsidR="002C625F" w:rsidRDefault="002C625F" w:rsidP="007978C4">
      <w:pPr>
        <w:ind w:firstLine="709"/>
        <w:jc w:val="both"/>
        <w:rPr>
          <w:lang w:val="uk-UA"/>
        </w:rPr>
      </w:pPr>
    </w:p>
    <w:p w:rsidR="007978C4" w:rsidRPr="00720DC2" w:rsidRDefault="007978C4" w:rsidP="007978C4">
      <w:pPr>
        <w:ind w:firstLine="709"/>
        <w:jc w:val="both"/>
        <w:rPr>
          <w:lang w:val="uk-UA"/>
        </w:rPr>
      </w:pPr>
      <w:r w:rsidRPr="00720DC2">
        <w:rPr>
          <w:lang w:val="uk-UA"/>
        </w:rPr>
        <w:lastRenderedPageBreak/>
        <w:t>Крім того, протягом року кількість зареєстрованих фізичних осіб-підприємців на 846 одиниць перевищила кількість тих, що припинили свою діяльність, кількість юридичних осіб – перевищила на 262 одиниц</w:t>
      </w:r>
      <w:r w:rsidR="00722640">
        <w:rPr>
          <w:lang w:val="uk-UA"/>
        </w:rPr>
        <w:t>і</w:t>
      </w:r>
      <w:r w:rsidRPr="00720DC2">
        <w:rPr>
          <w:lang w:val="uk-UA"/>
        </w:rPr>
        <w:t xml:space="preserve">. </w:t>
      </w:r>
    </w:p>
    <w:p w:rsidR="007978C4" w:rsidRPr="00720DC2" w:rsidRDefault="007978C4" w:rsidP="007978C4">
      <w:pPr>
        <w:ind w:firstLine="709"/>
        <w:jc w:val="both"/>
        <w:rPr>
          <w:lang w:val="uk-UA"/>
        </w:rPr>
      </w:pPr>
      <w:r w:rsidRPr="00720DC2">
        <w:rPr>
          <w:lang w:val="uk-UA"/>
        </w:rPr>
        <w:t xml:space="preserve"> Важливо, що суб'єкти підприємницької діяльності, особливо ФО-підприємці, зареєстрували свою діяльність в різних сферах, а не тільки в торгівлі, як це було раніше (≈90%).</w:t>
      </w:r>
    </w:p>
    <w:p w:rsidR="007978C4" w:rsidRPr="00720DC2" w:rsidRDefault="007978C4" w:rsidP="007978C4">
      <w:pPr>
        <w:ind w:firstLine="709"/>
        <w:jc w:val="both"/>
        <w:rPr>
          <w:lang w:val="uk-UA"/>
        </w:rPr>
      </w:pPr>
      <w:r w:rsidRPr="00720DC2">
        <w:rPr>
          <w:lang w:val="uk-UA"/>
        </w:rPr>
        <w:t>Зокрема, у 2018 році із 1952-х новозареєстрованих ФО-підпр</w:t>
      </w:r>
      <w:r w:rsidR="00722640">
        <w:rPr>
          <w:lang w:val="uk-UA"/>
        </w:rPr>
        <w:t>иємців, здійснюють діяльність в</w:t>
      </w:r>
      <w:r w:rsidRPr="00720DC2">
        <w:rPr>
          <w:lang w:val="uk-UA"/>
        </w:rPr>
        <w:t xml:space="preserve"> ІТ-сфері, інформації та телекомунікації – 15%; туризмі та організації харчування – 10%; професійній, науковій та технічній діяльності – 8%; переробній галузі – 5%.</w:t>
      </w:r>
    </w:p>
    <w:p w:rsidR="007978C4" w:rsidRPr="00720DC2" w:rsidRDefault="007978C4" w:rsidP="007978C4">
      <w:pPr>
        <w:ind w:firstLine="709"/>
        <w:jc w:val="both"/>
        <w:rPr>
          <w:lang w:val="uk-UA"/>
        </w:rPr>
      </w:pPr>
      <w:r w:rsidRPr="00720DC2">
        <w:rPr>
          <w:lang w:val="uk-UA"/>
        </w:rPr>
        <w:t xml:space="preserve">Станом на 01.01.2019р. зареєстровано </w:t>
      </w:r>
      <w:r w:rsidR="007A604F" w:rsidRPr="00720DC2">
        <w:rPr>
          <w:lang w:val="uk-UA"/>
        </w:rPr>
        <w:t>26296</w:t>
      </w:r>
      <w:r w:rsidRPr="00720DC2">
        <w:rPr>
          <w:lang w:val="uk-UA"/>
        </w:rPr>
        <w:t xml:space="preserve"> СПД, що на </w:t>
      </w:r>
      <w:r w:rsidR="007A604F" w:rsidRPr="00720DC2">
        <w:rPr>
          <w:lang w:val="uk-UA"/>
        </w:rPr>
        <w:t>1</w:t>
      </w:r>
      <w:r w:rsidR="00283946" w:rsidRPr="00720DC2">
        <w:rPr>
          <w:lang w:val="uk-UA"/>
        </w:rPr>
        <w:t>,</w:t>
      </w:r>
      <w:r w:rsidR="007A604F" w:rsidRPr="00720DC2">
        <w:rPr>
          <w:lang w:val="uk-UA"/>
        </w:rPr>
        <w:t>7</w:t>
      </w:r>
      <w:r w:rsidR="00283946" w:rsidRPr="00720DC2">
        <w:rPr>
          <w:lang w:val="uk-UA"/>
        </w:rPr>
        <w:t xml:space="preserve"> тис.</w:t>
      </w:r>
      <w:r w:rsidRPr="00720DC2">
        <w:rPr>
          <w:lang w:val="uk-UA"/>
        </w:rPr>
        <w:t xml:space="preserve"> </w:t>
      </w:r>
      <w:r w:rsidR="007A604F" w:rsidRPr="00720DC2">
        <w:rPr>
          <w:lang w:val="uk-UA"/>
        </w:rPr>
        <w:t xml:space="preserve">(на 7%) </w:t>
      </w:r>
      <w:r w:rsidRPr="00720DC2">
        <w:rPr>
          <w:lang w:val="uk-UA"/>
        </w:rPr>
        <w:t>б</w:t>
      </w:r>
      <w:r w:rsidR="00283946" w:rsidRPr="00720DC2">
        <w:rPr>
          <w:lang w:val="uk-UA"/>
        </w:rPr>
        <w:t>ільше, ніж на початок 2018 року, з них фізичних осіб-підприємців – 13839, юридичних осіб – 12457.</w:t>
      </w:r>
    </w:p>
    <w:p w:rsidR="003069EE" w:rsidRPr="00720DC2" w:rsidRDefault="003069EE" w:rsidP="003069EE">
      <w:pPr>
        <w:ind w:firstLine="708"/>
        <w:jc w:val="both"/>
        <w:rPr>
          <w:color w:val="0D0D0D"/>
          <w:lang w:val="uk-UA" w:eastAsia="uk-UA"/>
        </w:rPr>
      </w:pPr>
      <w:r w:rsidRPr="00720DC2">
        <w:rPr>
          <w:color w:val="0D0D0D"/>
          <w:lang w:val="uk-UA" w:eastAsia="uk-UA"/>
        </w:rPr>
        <w:t xml:space="preserve">У співпраці з експертами українсько-канадського проекту "Партнерство для розвитку міст" (ПРОМІС) розроблено Програму посилення конкурентоспроможності малого і середнього підприємництва в м.Івано-Франківську, яка узгоджена із пріоритетними напрямами, завданнями Стратегії розвитку міста Івано-Франківська на період до 2028 року. Програму затверджено рішенням сесії міської ради від 14.12.2018р. №332. </w:t>
      </w:r>
    </w:p>
    <w:p w:rsidR="007978C4" w:rsidRPr="00720DC2" w:rsidRDefault="007978C4" w:rsidP="007978C4">
      <w:pPr>
        <w:ind w:firstLine="708"/>
        <w:jc w:val="both"/>
        <w:rPr>
          <w:lang w:val="uk-UA"/>
        </w:rPr>
      </w:pPr>
      <w:r w:rsidRPr="00720DC2">
        <w:rPr>
          <w:lang w:val="uk-UA"/>
        </w:rPr>
        <w:t xml:space="preserve">З метою підтримки бізнесу та надання допомоги підприємцям-початківцям забезпечено функціонування Центру розвитку підприємництва </w:t>
      </w:r>
      <w:r w:rsidR="00D4778A" w:rsidRPr="00720DC2">
        <w:rPr>
          <w:lang w:val="uk-UA"/>
        </w:rPr>
        <w:t>"</w:t>
      </w:r>
      <w:r w:rsidRPr="00720DC2">
        <w:rPr>
          <w:lang w:val="uk-UA"/>
        </w:rPr>
        <w:t>Бізнес-інкубатор</w:t>
      </w:r>
      <w:r w:rsidR="00D4778A" w:rsidRPr="00720DC2">
        <w:rPr>
          <w:lang w:val="uk-UA"/>
        </w:rPr>
        <w:t>"</w:t>
      </w:r>
      <w:r w:rsidRPr="00720DC2">
        <w:rPr>
          <w:lang w:val="uk-UA"/>
        </w:rPr>
        <w:t xml:space="preserve"> при ІФНТУНГ, на базі якого потенційні та діючі суб’єкти підприємництва мають можливість отримати комплекс бізнес-послуг на безкоштовній основі. </w:t>
      </w:r>
    </w:p>
    <w:p w:rsidR="004874DA" w:rsidRPr="00720DC2" w:rsidRDefault="007978C4" w:rsidP="007978C4">
      <w:pPr>
        <w:ind w:firstLine="708"/>
        <w:jc w:val="both"/>
        <w:rPr>
          <w:lang w:val="uk-UA"/>
        </w:rPr>
      </w:pPr>
      <w:r w:rsidRPr="00720DC2">
        <w:rPr>
          <w:lang w:val="uk-UA"/>
        </w:rPr>
        <w:t xml:space="preserve">На виконання договору про співпрацю з Івано-Франківським національним технічним університетом нафти і газу двічі організовано двомісячний курс навчань з основ комп’ютерної грамоти для учасників АТО, членів їх сімей та для пенсіонерів - власників картки іванофранківця, а саме у квітні – травні та у жовтні-листопаді 2018 року. Навчання проводилися у ЦРП  </w:t>
      </w:r>
      <w:r w:rsidR="00D4778A" w:rsidRPr="00720DC2">
        <w:rPr>
          <w:lang w:val="uk-UA"/>
        </w:rPr>
        <w:t>"</w:t>
      </w:r>
      <w:r w:rsidRPr="00720DC2">
        <w:rPr>
          <w:lang w:val="uk-UA"/>
        </w:rPr>
        <w:t>Бізнес-Інкубатор</w:t>
      </w:r>
      <w:r w:rsidR="00D4778A" w:rsidRPr="00720DC2">
        <w:rPr>
          <w:lang w:val="uk-UA"/>
        </w:rPr>
        <w:t>"</w:t>
      </w:r>
      <w:r w:rsidRPr="00720DC2">
        <w:rPr>
          <w:lang w:val="uk-UA"/>
        </w:rPr>
        <w:t xml:space="preserve">. Всього навчання пройшли понад 80 учасників АТО та людей літнього віку. </w:t>
      </w:r>
    </w:p>
    <w:p w:rsidR="007978C4" w:rsidRPr="00720DC2" w:rsidRDefault="007978C4" w:rsidP="007978C4">
      <w:pPr>
        <w:ind w:firstLine="709"/>
        <w:jc w:val="both"/>
        <w:rPr>
          <w:color w:val="0D0D0D"/>
          <w:lang w:val="uk-UA" w:eastAsia="uk-UA"/>
        </w:rPr>
      </w:pPr>
      <w:r w:rsidRPr="00720DC2">
        <w:rPr>
          <w:color w:val="0D0D0D"/>
          <w:lang w:val="uk-UA" w:eastAsia="uk-UA"/>
        </w:rPr>
        <w:t xml:space="preserve">З метою сприяння розвитку підприємницької діяльності, надання фінансової підтримки суб’єктам господарювання міста для створення нових робочих місць вперше проведено конкурс стартапів. За результатами </w:t>
      </w:r>
      <w:r w:rsidR="00BD13B5" w:rsidRPr="00720DC2">
        <w:rPr>
          <w:color w:val="0D0D0D"/>
          <w:lang w:val="uk-UA" w:eastAsia="uk-UA"/>
        </w:rPr>
        <w:t>конкурсу</w:t>
      </w:r>
      <w:r w:rsidRPr="00720DC2">
        <w:rPr>
          <w:color w:val="0D0D0D"/>
          <w:lang w:val="uk-UA" w:eastAsia="uk-UA"/>
        </w:rPr>
        <w:t xml:space="preserve"> з-поміж 15-ти учасників обрано 4 </w:t>
      </w:r>
      <w:r w:rsidR="00BD13B5" w:rsidRPr="00720DC2">
        <w:rPr>
          <w:color w:val="0D0D0D"/>
          <w:lang w:val="uk-UA" w:eastAsia="uk-UA"/>
        </w:rPr>
        <w:t>проекти</w:t>
      </w:r>
      <w:r w:rsidR="004F325F">
        <w:rPr>
          <w:color w:val="0D0D0D"/>
          <w:lang w:val="uk-UA" w:eastAsia="uk-UA"/>
        </w:rPr>
        <w:t>-</w:t>
      </w:r>
      <w:r w:rsidR="00BD13B5" w:rsidRPr="00720DC2">
        <w:rPr>
          <w:color w:val="0D0D0D"/>
          <w:lang w:val="uk-UA" w:eastAsia="uk-UA"/>
        </w:rPr>
        <w:t xml:space="preserve">переможці </w:t>
      </w:r>
      <w:r w:rsidRPr="00720DC2">
        <w:rPr>
          <w:color w:val="0D0D0D"/>
          <w:lang w:val="uk-UA" w:eastAsia="uk-UA"/>
        </w:rPr>
        <w:t xml:space="preserve">на загальну суму 250,0 тис.грн. </w:t>
      </w:r>
    </w:p>
    <w:p w:rsidR="003069EE" w:rsidRPr="003D0EE8" w:rsidRDefault="003069EE" w:rsidP="003069EE">
      <w:pPr>
        <w:ind w:firstLine="709"/>
        <w:jc w:val="both"/>
        <w:rPr>
          <w:lang w:val="uk-UA"/>
        </w:rPr>
      </w:pPr>
      <w:r w:rsidRPr="003D0EE8">
        <w:rPr>
          <w:lang w:val="uk-UA"/>
        </w:rPr>
        <w:t xml:space="preserve">Для налагодження ефективної взаємодії між бізнесом і владою та тісної співпраці з представниками малого і середнього бізнесу організовано та проведено </w:t>
      </w:r>
      <w:r>
        <w:rPr>
          <w:lang w:val="uk-UA"/>
        </w:rPr>
        <w:t>10 б</w:t>
      </w:r>
      <w:r w:rsidRPr="003D0EE8">
        <w:rPr>
          <w:lang w:val="uk-UA"/>
        </w:rPr>
        <w:t>ізнес-сніданк</w:t>
      </w:r>
      <w:r>
        <w:rPr>
          <w:lang w:val="uk-UA"/>
        </w:rPr>
        <w:t>ів</w:t>
      </w:r>
      <w:r w:rsidRPr="003D0EE8">
        <w:rPr>
          <w:lang w:val="uk-UA"/>
        </w:rPr>
        <w:t xml:space="preserve"> з міським головою </w:t>
      </w:r>
      <w:r w:rsidR="00A462CB">
        <w:rPr>
          <w:lang w:val="uk-UA"/>
        </w:rPr>
        <w:t>та</w:t>
      </w:r>
      <w:r>
        <w:rPr>
          <w:lang w:val="uk-UA"/>
        </w:rPr>
        <w:t xml:space="preserve"> представниками різних сфер діяльності</w:t>
      </w:r>
      <w:r w:rsidRPr="003D0EE8">
        <w:rPr>
          <w:lang w:val="uk-UA"/>
        </w:rPr>
        <w:t>, а саме</w:t>
      </w:r>
      <w:r w:rsidR="00A462CB">
        <w:rPr>
          <w:lang w:val="uk-UA"/>
        </w:rPr>
        <w:t>:</w:t>
      </w:r>
      <w:r>
        <w:rPr>
          <w:lang w:val="uk-UA"/>
        </w:rPr>
        <w:t xml:space="preserve"> з </w:t>
      </w:r>
      <w:r w:rsidRPr="003D0EE8">
        <w:rPr>
          <w:lang w:val="uk-UA"/>
        </w:rPr>
        <w:t xml:space="preserve">представниками </w:t>
      </w:r>
      <w:r>
        <w:rPr>
          <w:lang w:val="uk-UA"/>
        </w:rPr>
        <w:t xml:space="preserve">будівельних компаній, шоу-бізнесу, </w:t>
      </w:r>
      <w:r w:rsidRPr="003D0EE8">
        <w:rPr>
          <w:lang w:val="uk-UA"/>
        </w:rPr>
        <w:t>компаній, які експортують</w:t>
      </w:r>
      <w:r>
        <w:rPr>
          <w:lang w:val="uk-UA"/>
        </w:rPr>
        <w:t>,</w:t>
      </w:r>
      <w:r w:rsidRPr="003D0EE8">
        <w:rPr>
          <w:lang w:val="uk-UA"/>
        </w:rPr>
        <w:t xml:space="preserve"> </w:t>
      </w:r>
      <w:r>
        <w:rPr>
          <w:lang w:val="uk-UA"/>
        </w:rPr>
        <w:t xml:space="preserve">власниками інтернет-компаній, ремісниками і реставраторами, </w:t>
      </w:r>
      <w:r w:rsidR="00A462CB">
        <w:rPr>
          <w:lang w:val="uk-UA"/>
        </w:rPr>
        <w:t>керівниками</w:t>
      </w:r>
      <w:r>
        <w:rPr>
          <w:lang w:val="uk-UA"/>
        </w:rPr>
        <w:t xml:space="preserve"> енергосервісних компаній, </w:t>
      </w:r>
      <w:r w:rsidRPr="003D0EE8">
        <w:rPr>
          <w:lang w:val="uk-UA"/>
        </w:rPr>
        <w:t>дит</w:t>
      </w:r>
      <w:r>
        <w:rPr>
          <w:lang w:val="uk-UA"/>
        </w:rPr>
        <w:t>ячих клубів та центрів розвитку, мовних клубів та центрів, журналістами</w:t>
      </w:r>
      <w:r w:rsidRPr="003D0EE8">
        <w:rPr>
          <w:lang w:val="uk-UA"/>
        </w:rPr>
        <w:t>.</w:t>
      </w:r>
    </w:p>
    <w:p w:rsidR="007978C4" w:rsidRDefault="007978C4" w:rsidP="00183E22">
      <w:pPr>
        <w:ind w:firstLine="708"/>
        <w:jc w:val="both"/>
        <w:rPr>
          <w:rFonts w:eastAsia="Times New Roman" w:cs="Times New Roman"/>
          <w:color w:val="0D0D0D"/>
          <w:highlight w:val="yellow"/>
          <w:lang w:val="uk-UA" w:eastAsia="ru-RU"/>
        </w:rPr>
      </w:pPr>
    </w:p>
    <w:p w:rsidR="0002754B" w:rsidRDefault="0002754B" w:rsidP="00183E22">
      <w:pPr>
        <w:ind w:firstLine="708"/>
        <w:jc w:val="both"/>
        <w:rPr>
          <w:rFonts w:eastAsia="Times New Roman" w:cs="Times New Roman"/>
          <w:color w:val="0D0D0D"/>
          <w:highlight w:val="yellow"/>
          <w:lang w:val="uk-UA" w:eastAsia="ru-RU"/>
        </w:rPr>
      </w:pPr>
    </w:p>
    <w:p w:rsidR="0002754B" w:rsidRDefault="0002754B" w:rsidP="00183E22">
      <w:pPr>
        <w:ind w:firstLine="708"/>
        <w:jc w:val="both"/>
        <w:rPr>
          <w:rFonts w:eastAsia="Times New Roman" w:cs="Times New Roman"/>
          <w:color w:val="0D0D0D"/>
          <w:highlight w:val="yellow"/>
          <w:lang w:val="uk-UA" w:eastAsia="ru-RU"/>
        </w:rPr>
      </w:pPr>
    </w:p>
    <w:p w:rsidR="0002754B" w:rsidRPr="00720DC2" w:rsidRDefault="0002754B" w:rsidP="00183E22">
      <w:pPr>
        <w:ind w:firstLine="708"/>
        <w:jc w:val="both"/>
        <w:rPr>
          <w:rFonts w:eastAsia="Times New Roman" w:cs="Times New Roman"/>
          <w:color w:val="0D0D0D"/>
          <w:highlight w:val="yellow"/>
          <w:lang w:val="uk-UA" w:eastAsia="ru-RU"/>
        </w:rPr>
      </w:pPr>
    </w:p>
    <w:p w:rsidR="00183E22" w:rsidRPr="00720DC2" w:rsidRDefault="00183E22" w:rsidP="00183E22">
      <w:pPr>
        <w:tabs>
          <w:tab w:val="left" w:pos="-1800"/>
        </w:tabs>
        <w:ind w:firstLine="700"/>
        <w:jc w:val="both"/>
        <w:outlineLvl w:val="0"/>
        <w:rPr>
          <w:i/>
          <w:lang w:val="uk-UA"/>
        </w:rPr>
      </w:pPr>
      <w:r w:rsidRPr="00720DC2">
        <w:rPr>
          <w:i/>
          <w:lang w:val="uk-UA"/>
        </w:rPr>
        <w:lastRenderedPageBreak/>
        <w:t>3.4. Надання адміністративних послуг</w:t>
      </w:r>
    </w:p>
    <w:p w:rsidR="00DB37FF" w:rsidRPr="00DB37FF" w:rsidRDefault="00DB37FF" w:rsidP="00DB37FF">
      <w:pPr>
        <w:pStyle w:val="a7"/>
        <w:shd w:val="clear" w:color="auto" w:fill="FFFFFF"/>
        <w:tabs>
          <w:tab w:val="left" w:pos="709"/>
        </w:tabs>
        <w:spacing w:after="0"/>
        <w:ind w:left="0"/>
        <w:jc w:val="both"/>
        <w:rPr>
          <w:sz w:val="28"/>
          <w:szCs w:val="28"/>
          <w:lang w:val="uk-UA"/>
        </w:rPr>
      </w:pPr>
      <w:r>
        <w:rPr>
          <w:sz w:val="28"/>
          <w:szCs w:val="28"/>
          <w:lang w:val="uk-UA"/>
        </w:rPr>
        <w:tab/>
      </w:r>
      <w:r w:rsidRPr="00DB37FF">
        <w:rPr>
          <w:sz w:val="28"/>
          <w:szCs w:val="28"/>
          <w:lang w:val="uk-UA"/>
        </w:rPr>
        <w:t>Місто Івано-Франківськ займає 1 місце за результатами щорічного моніторингу міст України за індексом публічності міської влади із загальним результатом 78%.</w:t>
      </w:r>
    </w:p>
    <w:p w:rsidR="00183E22" w:rsidRPr="00720DC2" w:rsidRDefault="00DB37FF" w:rsidP="00DB37FF">
      <w:pPr>
        <w:pStyle w:val="a7"/>
        <w:shd w:val="clear" w:color="auto" w:fill="FFFFFF"/>
        <w:tabs>
          <w:tab w:val="left" w:pos="993"/>
        </w:tabs>
        <w:spacing w:after="0"/>
        <w:ind w:left="0" w:firstLine="709"/>
        <w:jc w:val="both"/>
        <w:rPr>
          <w:sz w:val="28"/>
          <w:szCs w:val="28"/>
          <w:lang w:val="uk-UA"/>
        </w:rPr>
      </w:pPr>
      <w:r w:rsidRPr="00DB37FF">
        <w:rPr>
          <w:sz w:val="28"/>
          <w:szCs w:val="28"/>
          <w:lang w:val="uk-UA"/>
        </w:rPr>
        <w:t>Івано-Франківськ увійшов у трійку лідерів-міст України з найпрозорішим місцевим управлінням за підсумками дослідження проекту "Розбудова прозорості в містах України", що втілюється за підтримки Фонду демократії ООН,  який реалізований організацією "Transparency International Україна" разом з Інститутом Політичної Освіти.</w:t>
      </w:r>
      <w:r w:rsidR="00277403">
        <w:rPr>
          <w:sz w:val="28"/>
          <w:szCs w:val="28"/>
          <w:lang w:val="uk-UA"/>
        </w:rPr>
        <w:t xml:space="preserve"> </w:t>
      </w:r>
      <w:r w:rsidR="00183E22" w:rsidRPr="00720DC2">
        <w:rPr>
          <w:sz w:val="28"/>
          <w:szCs w:val="28"/>
          <w:lang w:val="uk-UA"/>
        </w:rPr>
        <w:t>Центр надання адміністративних послуг м. Івано-Франківська постійно розширює спектр послуг та забезпечує діяльність територіальних відділень для обслуговування мешканців міста.</w:t>
      </w:r>
    </w:p>
    <w:p w:rsidR="005D7F82" w:rsidRPr="00720DC2" w:rsidRDefault="00183E22" w:rsidP="005D7F82">
      <w:pPr>
        <w:ind w:firstLine="709"/>
        <w:jc w:val="both"/>
        <w:rPr>
          <w:lang w:val="uk-UA"/>
        </w:rPr>
      </w:pPr>
      <w:r w:rsidRPr="00720DC2">
        <w:rPr>
          <w:lang w:val="uk-UA"/>
        </w:rPr>
        <w:t xml:space="preserve">Зокрема, забезпечено діяльність територіальних підрозділів ЦНАП у мікрорайоні </w:t>
      </w:r>
      <w:r w:rsidR="00D4778A" w:rsidRPr="00720DC2">
        <w:rPr>
          <w:lang w:val="uk-UA"/>
        </w:rPr>
        <w:t>"</w:t>
      </w:r>
      <w:r w:rsidRPr="00720DC2">
        <w:rPr>
          <w:lang w:val="uk-UA"/>
        </w:rPr>
        <w:t>Пасічна</w:t>
      </w:r>
      <w:r w:rsidR="00D4778A" w:rsidRPr="00720DC2">
        <w:rPr>
          <w:lang w:val="uk-UA"/>
        </w:rPr>
        <w:t>"</w:t>
      </w:r>
      <w:r w:rsidRPr="00720DC2">
        <w:rPr>
          <w:lang w:val="uk-UA"/>
        </w:rPr>
        <w:t xml:space="preserve"> (вул. Галицька, 124 А), мікрорайоні </w:t>
      </w:r>
      <w:r w:rsidR="00D4778A" w:rsidRPr="00720DC2">
        <w:rPr>
          <w:lang w:val="uk-UA"/>
        </w:rPr>
        <w:t>"</w:t>
      </w:r>
      <w:r w:rsidRPr="00720DC2">
        <w:rPr>
          <w:lang w:val="uk-UA"/>
        </w:rPr>
        <w:t>БАМ</w:t>
      </w:r>
      <w:r w:rsidR="00D4778A" w:rsidRPr="00720DC2">
        <w:rPr>
          <w:lang w:val="uk-UA"/>
        </w:rPr>
        <w:t>"</w:t>
      </w:r>
      <w:r w:rsidRPr="00720DC2">
        <w:rPr>
          <w:lang w:val="uk-UA"/>
        </w:rPr>
        <w:t xml:space="preserve"> </w:t>
      </w:r>
      <w:r w:rsidRPr="00720DC2">
        <w:rPr>
          <w:b/>
          <w:lang w:val="uk-UA"/>
        </w:rPr>
        <w:t>(</w:t>
      </w:r>
      <w:r w:rsidRPr="00720DC2">
        <w:rPr>
          <w:rStyle w:val="a9"/>
          <w:b w:val="0"/>
          <w:shd w:val="clear" w:color="auto" w:fill="FFFFFF"/>
          <w:lang w:val="uk-UA"/>
        </w:rPr>
        <w:t xml:space="preserve">вул. Гетьмана Мазепи, 185) та у мікрорайоні </w:t>
      </w:r>
      <w:r w:rsidR="00D4778A" w:rsidRPr="00720DC2">
        <w:rPr>
          <w:rStyle w:val="a9"/>
          <w:b w:val="0"/>
          <w:shd w:val="clear" w:color="auto" w:fill="FFFFFF"/>
          <w:lang w:val="uk-UA"/>
        </w:rPr>
        <w:t>"</w:t>
      </w:r>
      <w:r w:rsidRPr="00720DC2">
        <w:rPr>
          <w:rStyle w:val="a9"/>
          <w:b w:val="0"/>
          <w:shd w:val="clear" w:color="auto" w:fill="FFFFFF"/>
          <w:lang w:val="uk-UA"/>
        </w:rPr>
        <w:t>КАСКАД</w:t>
      </w:r>
      <w:r w:rsidR="00D4778A" w:rsidRPr="00720DC2">
        <w:rPr>
          <w:rStyle w:val="a9"/>
          <w:b w:val="0"/>
          <w:shd w:val="clear" w:color="auto" w:fill="FFFFFF"/>
          <w:lang w:val="uk-UA"/>
        </w:rPr>
        <w:t>"</w:t>
      </w:r>
      <w:r w:rsidRPr="00720DC2">
        <w:rPr>
          <w:rStyle w:val="a9"/>
          <w:b w:val="0"/>
          <w:shd w:val="clear" w:color="auto" w:fill="FFFFFF"/>
          <w:lang w:val="uk-UA"/>
        </w:rPr>
        <w:t xml:space="preserve"> (вул. Івана Павла ІІ, 4 ), </w:t>
      </w:r>
      <w:r w:rsidRPr="00720DC2">
        <w:rPr>
          <w:lang w:val="uk-UA"/>
        </w:rPr>
        <w:t xml:space="preserve">котрі є складовою ЦНАП м. Івано-Франківська. У територіальних підрозділах надається 144 адміністративні та дозвільні послуги. Завдяки функціонуванню територіальних підрозділів ЦНАП реалізовується право мешканців віддалених мікрорайонів міста на оперативну та зручну організацію надання послуг </w:t>
      </w:r>
      <w:r w:rsidR="00277403">
        <w:rPr>
          <w:lang w:val="uk-UA"/>
        </w:rPr>
        <w:t>для суб’єктів звернень, а також</w:t>
      </w:r>
      <w:r w:rsidRPr="00720DC2">
        <w:rPr>
          <w:lang w:val="uk-UA"/>
        </w:rPr>
        <w:t xml:space="preserve"> якісне та своєчасне отримання послуг.</w:t>
      </w:r>
    </w:p>
    <w:p w:rsidR="00183E22" w:rsidRPr="00720DC2" w:rsidRDefault="005D7F82" w:rsidP="00FD24B1">
      <w:pPr>
        <w:ind w:firstLine="709"/>
        <w:jc w:val="both"/>
        <w:rPr>
          <w:lang w:val="uk-UA"/>
        </w:rPr>
      </w:pPr>
      <w:r w:rsidRPr="00720DC2">
        <w:rPr>
          <w:lang w:val="uk-UA"/>
        </w:rPr>
        <w:t xml:space="preserve"> Особливістю територіальних підрозділів Центру надання адміністративних послуг є функціонування в територіальних підрозділах комунальних підприємств міста (АТ</w:t>
      </w:r>
      <w:r w:rsidR="00277403">
        <w:rPr>
          <w:lang w:val="uk-UA"/>
        </w:rPr>
        <w:t xml:space="preserve"> </w:t>
      </w:r>
      <w:r w:rsidR="00D4778A" w:rsidRPr="00720DC2">
        <w:rPr>
          <w:lang w:val="uk-UA"/>
        </w:rPr>
        <w:t>"</w:t>
      </w:r>
      <w:r w:rsidRPr="00720DC2">
        <w:rPr>
          <w:lang w:val="uk-UA"/>
        </w:rPr>
        <w:t>Прикарпаттяобленерго</w:t>
      </w:r>
      <w:r w:rsidR="00D4778A" w:rsidRPr="00720DC2">
        <w:rPr>
          <w:lang w:val="uk-UA"/>
        </w:rPr>
        <w:t>"</w:t>
      </w:r>
      <w:r w:rsidRPr="00720DC2">
        <w:rPr>
          <w:lang w:val="uk-UA"/>
        </w:rPr>
        <w:t xml:space="preserve">, КП </w:t>
      </w:r>
      <w:r w:rsidR="00D4778A" w:rsidRPr="00720DC2">
        <w:rPr>
          <w:lang w:val="uk-UA"/>
        </w:rPr>
        <w:t>"</w:t>
      </w:r>
      <w:r w:rsidRPr="00720DC2">
        <w:rPr>
          <w:lang w:val="uk-UA"/>
        </w:rPr>
        <w:t>МІУК</w:t>
      </w:r>
      <w:r w:rsidR="00D4778A" w:rsidRPr="00720DC2">
        <w:rPr>
          <w:lang w:val="uk-UA"/>
        </w:rPr>
        <w:t>"</w:t>
      </w:r>
      <w:r w:rsidRPr="00720DC2">
        <w:rPr>
          <w:lang w:val="uk-UA"/>
        </w:rPr>
        <w:t xml:space="preserve">, ПАТ </w:t>
      </w:r>
      <w:r w:rsidR="00D4778A" w:rsidRPr="00720DC2">
        <w:rPr>
          <w:lang w:val="uk-UA"/>
        </w:rPr>
        <w:t>"</w:t>
      </w:r>
      <w:r w:rsidRPr="00720DC2">
        <w:rPr>
          <w:lang w:val="uk-UA"/>
        </w:rPr>
        <w:t>Івано-Франківськгаз</w:t>
      </w:r>
      <w:r w:rsidR="00D4778A" w:rsidRPr="00720DC2">
        <w:rPr>
          <w:lang w:val="uk-UA"/>
        </w:rPr>
        <w:t>"</w:t>
      </w:r>
      <w:r w:rsidRPr="00720DC2">
        <w:rPr>
          <w:lang w:val="uk-UA"/>
        </w:rPr>
        <w:t xml:space="preserve">, ДМП </w:t>
      </w:r>
      <w:r w:rsidR="00D4778A" w:rsidRPr="00720DC2">
        <w:rPr>
          <w:lang w:val="uk-UA"/>
        </w:rPr>
        <w:t>"</w:t>
      </w:r>
      <w:r w:rsidRPr="00720DC2">
        <w:rPr>
          <w:lang w:val="uk-UA"/>
        </w:rPr>
        <w:t>Івано-Франківськтеплокомуненерго</w:t>
      </w:r>
      <w:r w:rsidR="00D4778A" w:rsidRPr="00720DC2">
        <w:rPr>
          <w:lang w:val="uk-UA"/>
        </w:rPr>
        <w:t>"</w:t>
      </w:r>
      <w:r w:rsidRPr="00720DC2">
        <w:rPr>
          <w:lang w:val="uk-UA"/>
        </w:rPr>
        <w:t xml:space="preserve">, КП </w:t>
      </w:r>
      <w:r w:rsidR="00D4778A" w:rsidRPr="00720DC2">
        <w:rPr>
          <w:lang w:val="uk-UA"/>
        </w:rPr>
        <w:t>"</w:t>
      </w:r>
      <w:r w:rsidRPr="00720DC2">
        <w:rPr>
          <w:lang w:val="uk-UA"/>
        </w:rPr>
        <w:t>Івано-Франківськводоекотехпром</w:t>
      </w:r>
      <w:r w:rsidR="00D4778A" w:rsidRPr="00720DC2">
        <w:rPr>
          <w:lang w:val="uk-UA"/>
        </w:rPr>
        <w:t>"</w:t>
      </w:r>
      <w:r w:rsidRPr="00720DC2">
        <w:rPr>
          <w:lang w:val="uk-UA"/>
        </w:rPr>
        <w:t>) та можливість оформити документи на отримання субсидії. В територіальних підрозділах функціонує електронна черга. Замовивши адміністративну послугу в одному територіальному підрозділі</w:t>
      </w:r>
      <w:r w:rsidR="00277403">
        <w:rPr>
          <w:lang w:val="uk-UA"/>
        </w:rPr>
        <w:t>,</w:t>
      </w:r>
      <w:r w:rsidRPr="00720DC2">
        <w:rPr>
          <w:lang w:val="uk-UA"/>
        </w:rPr>
        <w:t xml:space="preserve"> замовник може (за бажанням) її отримати в іншому</w:t>
      </w:r>
      <w:r w:rsidR="004120B7" w:rsidRPr="00720DC2">
        <w:rPr>
          <w:lang w:val="uk-UA"/>
        </w:rPr>
        <w:t>.</w:t>
      </w:r>
    </w:p>
    <w:p w:rsidR="005D7F82" w:rsidRPr="00720DC2" w:rsidRDefault="005D7F82" w:rsidP="00FD24B1">
      <w:pPr>
        <w:ind w:firstLine="567"/>
        <w:jc w:val="both"/>
        <w:rPr>
          <w:lang w:val="uk-UA"/>
        </w:rPr>
      </w:pPr>
      <w:r w:rsidRPr="00720DC2">
        <w:rPr>
          <w:lang w:val="uk-UA"/>
        </w:rPr>
        <w:t xml:space="preserve">Центром надання адміністративних послуг надається 240 адміністративних та дозвільно-погоджувальних послуг. Загальна кількість наданих </w:t>
      </w:r>
      <w:r w:rsidR="00277403">
        <w:rPr>
          <w:lang w:val="uk-UA"/>
        </w:rPr>
        <w:t xml:space="preserve">у 2018 році </w:t>
      </w:r>
      <w:r w:rsidRPr="00720DC2">
        <w:rPr>
          <w:lang w:val="uk-UA"/>
        </w:rPr>
        <w:t xml:space="preserve">послуг становить 80 801, </w:t>
      </w:r>
      <w:r w:rsidR="004120B7" w:rsidRPr="00720DC2">
        <w:rPr>
          <w:lang w:val="uk-UA"/>
        </w:rPr>
        <w:t xml:space="preserve">консультацій - </w:t>
      </w:r>
      <w:r w:rsidRPr="00720DC2">
        <w:rPr>
          <w:lang w:val="uk-UA"/>
        </w:rPr>
        <w:t>25 725.</w:t>
      </w:r>
    </w:p>
    <w:p w:rsidR="005D7F82" w:rsidRPr="00720DC2" w:rsidRDefault="005D7F82" w:rsidP="00FD24B1">
      <w:pPr>
        <w:ind w:firstLine="567"/>
        <w:jc w:val="both"/>
        <w:rPr>
          <w:b/>
          <w:lang w:val="uk-UA"/>
        </w:rPr>
      </w:pPr>
      <w:r w:rsidRPr="00720DC2">
        <w:rPr>
          <w:shd w:val="clear" w:color="auto" w:fill="FFFFFF"/>
          <w:lang w:val="uk-UA"/>
        </w:rPr>
        <w:t>Якість надання</w:t>
      </w:r>
      <w:r w:rsidRPr="00720DC2">
        <w:rPr>
          <w:rStyle w:val="apple-converted-space"/>
          <w:shd w:val="clear" w:color="auto" w:fill="FFFFFF"/>
          <w:lang w:val="uk-UA"/>
        </w:rPr>
        <w:t> </w:t>
      </w:r>
      <w:r w:rsidRPr="00720DC2">
        <w:rPr>
          <w:rStyle w:val="a9"/>
          <w:b w:val="0"/>
          <w:shd w:val="clear" w:color="auto" w:fill="FFFFFF"/>
          <w:lang w:val="uk-UA"/>
        </w:rPr>
        <w:t>адміністративних та дозвільно-погоджувальних послуг</w:t>
      </w:r>
      <w:r w:rsidRPr="00720DC2">
        <w:rPr>
          <w:rStyle w:val="apple-converted-space"/>
          <w:shd w:val="clear" w:color="auto" w:fill="FFFFFF"/>
          <w:lang w:val="uk-UA"/>
        </w:rPr>
        <w:t> </w:t>
      </w:r>
      <w:r w:rsidRPr="00720DC2">
        <w:rPr>
          <w:shd w:val="clear" w:color="auto" w:fill="FFFFFF"/>
          <w:lang w:val="uk-UA"/>
        </w:rPr>
        <w:t>оцінило</w:t>
      </w:r>
      <w:r w:rsidRPr="00720DC2">
        <w:rPr>
          <w:rStyle w:val="apple-converted-space"/>
          <w:shd w:val="clear" w:color="auto" w:fill="FFFFFF"/>
          <w:lang w:val="uk-UA"/>
        </w:rPr>
        <w:t xml:space="preserve"> 27 357 </w:t>
      </w:r>
      <w:r w:rsidRPr="00720DC2">
        <w:rPr>
          <w:shd w:val="clear" w:color="auto" w:fill="FFFFFF"/>
          <w:lang w:val="uk-UA"/>
        </w:rPr>
        <w:t>відвідувачів.</w:t>
      </w:r>
      <w:r w:rsidRPr="00720DC2">
        <w:rPr>
          <w:rStyle w:val="apple-converted-space"/>
          <w:shd w:val="clear" w:color="auto" w:fill="FFFFFF"/>
          <w:lang w:val="uk-UA"/>
        </w:rPr>
        <w:t xml:space="preserve"> </w:t>
      </w:r>
      <w:r w:rsidRPr="00720DC2">
        <w:rPr>
          <w:rStyle w:val="a9"/>
          <w:b w:val="0"/>
          <w:shd w:val="clear" w:color="auto" w:fill="FFFFFF"/>
          <w:lang w:val="uk-UA"/>
        </w:rPr>
        <w:t>Позитивно</w:t>
      </w:r>
      <w:r w:rsidRPr="00720DC2">
        <w:rPr>
          <w:rStyle w:val="apple-converted-space"/>
          <w:shd w:val="clear" w:color="auto" w:fill="FFFFFF"/>
          <w:lang w:val="uk-UA"/>
        </w:rPr>
        <w:t xml:space="preserve"> </w:t>
      </w:r>
      <w:r w:rsidRPr="00720DC2">
        <w:rPr>
          <w:shd w:val="clear" w:color="auto" w:fill="FFFFFF"/>
          <w:lang w:val="uk-UA"/>
        </w:rPr>
        <w:t>оцінил</w:t>
      </w:r>
      <w:r w:rsidR="00277403">
        <w:rPr>
          <w:shd w:val="clear" w:color="auto" w:fill="FFFFFF"/>
          <w:lang w:val="uk-UA"/>
        </w:rPr>
        <w:t>и</w:t>
      </w:r>
      <w:r w:rsidRPr="00720DC2">
        <w:rPr>
          <w:shd w:val="clear" w:color="auto" w:fill="FFFFFF"/>
          <w:lang w:val="uk-UA"/>
        </w:rPr>
        <w:t xml:space="preserve"> якість надання послуг</w:t>
      </w:r>
      <w:r w:rsidRPr="00720DC2">
        <w:rPr>
          <w:rStyle w:val="apple-converted-space"/>
          <w:shd w:val="clear" w:color="auto" w:fill="FFFFFF"/>
          <w:lang w:val="uk-UA"/>
        </w:rPr>
        <w:t xml:space="preserve"> 25 661 </w:t>
      </w:r>
      <w:r w:rsidRPr="00720DC2">
        <w:rPr>
          <w:shd w:val="clear" w:color="auto" w:fill="FFFFFF"/>
          <w:lang w:val="uk-UA"/>
        </w:rPr>
        <w:t>відвідувач, що становить</w:t>
      </w:r>
      <w:r w:rsidRPr="00720DC2">
        <w:rPr>
          <w:rStyle w:val="apple-converted-space"/>
          <w:shd w:val="clear" w:color="auto" w:fill="FFFFFF"/>
          <w:lang w:val="uk-UA"/>
        </w:rPr>
        <w:t xml:space="preserve"> </w:t>
      </w:r>
      <w:r w:rsidRPr="00720DC2">
        <w:rPr>
          <w:rStyle w:val="a9"/>
          <w:b w:val="0"/>
          <w:shd w:val="clear" w:color="auto" w:fill="FFFFFF"/>
          <w:lang w:val="uk-UA"/>
        </w:rPr>
        <w:t>93,8%, негативно –  1 696 відвідувачів (6,2%).</w:t>
      </w:r>
      <w:r w:rsidRPr="00720DC2">
        <w:rPr>
          <w:b/>
          <w:lang w:val="uk-UA"/>
        </w:rPr>
        <w:t xml:space="preserve"> </w:t>
      </w:r>
    </w:p>
    <w:p w:rsidR="00183E22" w:rsidRPr="00720DC2" w:rsidRDefault="00183E22" w:rsidP="00FD24B1">
      <w:pPr>
        <w:ind w:firstLine="851"/>
        <w:contextualSpacing/>
        <w:jc w:val="both"/>
        <w:rPr>
          <w:shd w:val="clear" w:color="auto" w:fill="FFFFFF"/>
          <w:lang w:val="uk-UA"/>
        </w:rPr>
      </w:pPr>
      <w:r w:rsidRPr="00720DC2">
        <w:rPr>
          <w:shd w:val="clear" w:color="auto" w:fill="FFFFFF"/>
          <w:lang w:val="uk-UA"/>
        </w:rPr>
        <w:t>Мешканці міста Івано-Франківська можуть замовити послуги в режимі он-лайн на сайті</w:t>
      </w:r>
      <w:r w:rsidRPr="00720DC2">
        <w:rPr>
          <w:rStyle w:val="apple-converted-space"/>
          <w:shd w:val="clear" w:color="auto" w:fill="FFFFFF"/>
          <w:lang w:val="uk-UA"/>
        </w:rPr>
        <w:t xml:space="preserve"> </w:t>
      </w:r>
      <w:hyperlink r:id="rId18" w:tgtFrame="_blank" w:history="1">
        <w:r w:rsidRPr="00720DC2">
          <w:rPr>
            <w:rStyle w:val="aa"/>
            <w:shd w:val="clear" w:color="auto" w:fill="FFFFFF"/>
            <w:lang w:val="uk-UA"/>
          </w:rPr>
          <w:t>www.cnap.if.ua</w:t>
        </w:r>
      </w:hyperlink>
      <w:r w:rsidRPr="00720DC2">
        <w:rPr>
          <w:rStyle w:val="apple-converted-space"/>
          <w:shd w:val="clear" w:color="auto" w:fill="FFFFFF"/>
          <w:lang w:val="uk-UA"/>
        </w:rPr>
        <w:t xml:space="preserve"> </w:t>
      </w:r>
      <w:r w:rsidRPr="00720DC2">
        <w:rPr>
          <w:shd w:val="clear" w:color="auto" w:fill="FFFFFF"/>
          <w:lang w:val="uk-UA"/>
        </w:rPr>
        <w:t xml:space="preserve">(розділ </w:t>
      </w:r>
      <w:r w:rsidR="00D4778A" w:rsidRPr="00720DC2">
        <w:rPr>
          <w:shd w:val="clear" w:color="auto" w:fill="FFFFFF"/>
          <w:lang w:val="uk-UA"/>
        </w:rPr>
        <w:t>"</w:t>
      </w:r>
      <w:r w:rsidRPr="00720DC2">
        <w:rPr>
          <w:shd w:val="clear" w:color="auto" w:fill="FFFFFF"/>
          <w:lang w:val="uk-UA"/>
        </w:rPr>
        <w:t>Електронні послуги</w:t>
      </w:r>
      <w:r w:rsidR="00D4778A" w:rsidRPr="00720DC2">
        <w:rPr>
          <w:shd w:val="clear" w:color="auto" w:fill="FFFFFF"/>
          <w:lang w:val="uk-UA"/>
        </w:rPr>
        <w:t>"</w:t>
      </w:r>
      <w:r w:rsidRPr="00720DC2">
        <w:rPr>
          <w:shd w:val="clear" w:color="auto" w:fill="FFFFFF"/>
          <w:lang w:val="uk-UA"/>
        </w:rPr>
        <w:t>) без відвідування Центру надання адміністративних послуг                              м.Івано-Франківська.</w:t>
      </w:r>
      <w:r w:rsidRPr="00720DC2">
        <w:rPr>
          <w:rStyle w:val="apple-converted-space"/>
          <w:shd w:val="clear" w:color="auto" w:fill="FFFFFF"/>
          <w:lang w:val="uk-UA"/>
        </w:rPr>
        <w:t xml:space="preserve"> </w:t>
      </w:r>
      <w:r w:rsidRPr="00720DC2">
        <w:rPr>
          <w:shd w:val="clear" w:color="auto" w:fill="FFFFFF"/>
          <w:lang w:val="uk-UA"/>
        </w:rPr>
        <w:t xml:space="preserve">Результат послуги замовники отримують  особисто у Центрі надання адміністративних послуг після отримання смс-повідомлення про виконання та пред’явлення документа, що посвідчує особу. За звітний період було надано </w:t>
      </w:r>
      <w:r w:rsidR="005D7F82" w:rsidRPr="00720DC2">
        <w:rPr>
          <w:shd w:val="clear" w:color="auto" w:fill="FFFFFF"/>
          <w:lang w:val="uk-UA"/>
        </w:rPr>
        <w:t>3117</w:t>
      </w:r>
      <w:r w:rsidRPr="00720DC2">
        <w:rPr>
          <w:shd w:val="clear" w:color="auto" w:fill="FFFFFF"/>
          <w:lang w:val="uk-UA"/>
        </w:rPr>
        <w:t xml:space="preserve"> он-лайн послуг.</w:t>
      </w:r>
    </w:p>
    <w:p w:rsidR="00183E22" w:rsidRPr="00720DC2" w:rsidRDefault="00183E22" w:rsidP="00183E22">
      <w:pPr>
        <w:ind w:firstLine="851"/>
        <w:contextualSpacing/>
        <w:jc w:val="both"/>
        <w:rPr>
          <w:lang w:val="uk-UA"/>
        </w:rPr>
      </w:pPr>
      <w:r w:rsidRPr="00720DC2">
        <w:rPr>
          <w:rStyle w:val="a9"/>
          <w:b w:val="0"/>
          <w:lang w:val="uk-UA"/>
        </w:rPr>
        <w:t xml:space="preserve">На даний час мешканцям міста Івано-Франківська доступно 47  адміністративних послуг, які можна замовити он-лайн. </w:t>
      </w:r>
      <w:r w:rsidR="00277403">
        <w:rPr>
          <w:rStyle w:val="a9"/>
          <w:b w:val="0"/>
          <w:lang w:val="uk-UA"/>
        </w:rPr>
        <w:t>А</w:t>
      </w:r>
      <w:r w:rsidRPr="00720DC2">
        <w:rPr>
          <w:lang w:val="uk-UA"/>
        </w:rPr>
        <w:t xml:space="preserve">дміністраторами ЦНАП надано </w:t>
      </w:r>
      <w:r w:rsidR="005D7F82" w:rsidRPr="00720DC2">
        <w:rPr>
          <w:lang w:val="uk-UA"/>
        </w:rPr>
        <w:t>2713</w:t>
      </w:r>
      <w:r w:rsidR="00277403">
        <w:rPr>
          <w:lang w:val="uk-UA"/>
        </w:rPr>
        <w:t xml:space="preserve"> он-лайн консультацій</w:t>
      </w:r>
      <w:r w:rsidRPr="00720DC2">
        <w:rPr>
          <w:lang w:val="uk-UA"/>
        </w:rPr>
        <w:t>.</w:t>
      </w:r>
    </w:p>
    <w:p w:rsidR="00183E22" w:rsidRPr="00720DC2" w:rsidRDefault="00183E22" w:rsidP="00183E22">
      <w:pPr>
        <w:ind w:firstLine="851"/>
        <w:contextualSpacing/>
        <w:jc w:val="both"/>
        <w:rPr>
          <w:lang w:val="uk-UA"/>
        </w:rPr>
      </w:pPr>
      <w:r w:rsidRPr="00720DC2">
        <w:rPr>
          <w:lang w:val="uk-UA"/>
        </w:rPr>
        <w:lastRenderedPageBreak/>
        <w:t xml:space="preserve">Актуальною залишається послуга </w:t>
      </w:r>
      <w:r w:rsidR="00D4778A" w:rsidRPr="00720DC2">
        <w:rPr>
          <w:lang w:val="uk-UA"/>
        </w:rPr>
        <w:t>"</w:t>
      </w:r>
      <w:r w:rsidRPr="00720DC2">
        <w:rPr>
          <w:lang w:val="uk-UA"/>
        </w:rPr>
        <w:t>Мобільний адміністратор</w:t>
      </w:r>
      <w:r w:rsidR="00D4778A" w:rsidRPr="00720DC2">
        <w:rPr>
          <w:lang w:val="uk-UA"/>
        </w:rPr>
        <w:t>"</w:t>
      </w:r>
      <w:r w:rsidRPr="00720DC2">
        <w:rPr>
          <w:lang w:val="uk-UA"/>
        </w:rPr>
        <w:t xml:space="preserve">.  За звітний період за допомогою сервісу </w:t>
      </w:r>
      <w:r w:rsidR="00D4778A" w:rsidRPr="00720DC2">
        <w:rPr>
          <w:lang w:val="uk-UA"/>
        </w:rPr>
        <w:t>"</w:t>
      </w:r>
      <w:r w:rsidRPr="00720DC2">
        <w:rPr>
          <w:lang w:val="uk-UA"/>
        </w:rPr>
        <w:t>Мобільний адміністратор</w:t>
      </w:r>
      <w:r w:rsidR="00D4778A" w:rsidRPr="00720DC2">
        <w:rPr>
          <w:lang w:val="uk-UA"/>
        </w:rPr>
        <w:t>"</w:t>
      </w:r>
      <w:r w:rsidRPr="00720DC2">
        <w:rPr>
          <w:lang w:val="uk-UA"/>
        </w:rPr>
        <w:t xml:space="preserve"> надано </w:t>
      </w:r>
      <w:r w:rsidR="005D7F82" w:rsidRPr="00720DC2">
        <w:rPr>
          <w:lang w:val="uk-UA"/>
        </w:rPr>
        <w:t>107</w:t>
      </w:r>
      <w:r w:rsidRPr="00720DC2">
        <w:rPr>
          <w:lang w:val="uk-UA"/>
        </w:rPr>
        <w:t xml:space="preserve"> адміністративних послуг.</w:t>
      </w:r>
    </w:p>
    <w:p w:rsidR="00183E22" w:rsidRPr="00720DC2" w:rsidRDefault="00183E22" w:rsidP="00183E22">
      <w:pPr>
        <w:ind w:firstLine="851"/>
        <w:contextualSpacing/>
        <w:jc w:val="both"/>
        <w:rPr>
          <w:lang w:val="uk-UA"/>
        </w:rPr>
      </w:pPr>
      <w:r w:rsidRPr="00720DC2">
        <w:rPr>
          <w:lang w:val="uk-UA"/>
        </w:rPr>
        <w:t>Продовжується робота над</w:t>
      </w:r>
      <w:r w:rsidRPr="00720DC2">
        <w:rPr>
          <w:shd w:val="clear" w:color="auto" w:fill="FFFFFF"/>
          <w:lang w:val="uk-UA"/>
        </w:rPr>
        <w:t xml:space="preserve"> організацією надання адміністративних послуг з реєстрації актів цивільного стану, реєстрації транспортних засобів та оформлення посвідчення водія через ЦНАП.</w:t>
      </w:r>
    </w:p>
    <w:p w:rsidR="00183E22" w:rsidRPr="00720DC2" w:rsidRDefault="00183E22" w:rsidP="00183E22">
      <w:pPr>
        <w:ind w:firstLine="851"/>
        <w:contextualSpacing/>
        <w:jc w:val="both"/>
        <w:rPr>
          <w:lang w:val="uk-UA"/>
        </w:rPr>
      </w:pPr>
      <w:r w:rsidRPr="00720DC2">
        <w:rPr>
          <w:lang w:val="uk-UA"/>
        </w:rPr>
        <w:t>У 2018 році продовжувал</w:t>
      </w:r>
      <w:r w:rsidR="00277403">
        <w:rPr>
          <w:lang w:val="uk-UA"/>
        </w:rPr>
        <w:t>ась реалізація</w:t>
      </w:r>
      <w:r w:rsidRPr="00720DC2">
        <w:rPr>
          <w:lang w:val="uk-UA"/>
        </w:rPr>
        <w:t xml:space="preserve"> проекту </w:t>
      </w:r>
      <w:r w:rsidR="00D4778A" w:rsidRPr="00720DC2">
        <w:rPr>
          <w:lang w:val="uk-UA"/>
        </w:rPr>
        <w:t>"</w:t>
      </w:r>
      <w:r w:rsidRPr="00720DC2">
        <w:rPr>
          <w:lang w:val="uk-UA"/>
        </w:rPr>
        <w:t>Місцеве самоврядування та верховенство права в Україні</w:t>
      </w:r>
      <w:r w:rsidR="00D4778A" w:rsidRPr="00720DC2">
        <w:rPr>
          <w:lang w:val="uk-UA"/>
        </w:rPr>
        <w:t>"</w:t>
      </w:r>
      <w:r w:rsidRPr="00720DC2">
        <w:rPr>
          <w:lang w:val="uk-UA"/>
        </w:rPr>
        <w:t xml:space="preserve">. Проект фінансується Шведським агентством регіонального розвитку (SIDA) та шведською урядовою організацією </w:t>
      </w:r>
      <w:r w:rsidR="00D4778A" w:rsidRPr="00720DC2">
        <w:rPr>
          <w:lang w:val="uk-UA"/>
        </w:rPr>
        <w:t>"</w:t>
      </w:r>
      <w:r w:rsidRPr="00720DC2">
        <w:rPr>
          <w:lang w:val="uk-UA"/>
        </w:rPr>
        <w:t>Академія Фольке Бернадотта</w:t>
      </w:r>
      <w:r w:rsidR="00D4778A" w:rsidRPr="00720DC2">
        <w:rPr>
          <w:lang w:val="uk-UA"/>
        </w:rPr>
        <w:t>"</w:t>
      </w:r>
      <w:r w:rsidRPr="00720DC2">
        <w:rPr>
          <w:lang w:val="uk-UA"/>
        </w:rPr>
        <w:t xml:space="preserve">. </w:t>
      </w:r>
    </w:p>
    <w:p w:rsidR="008160B1" w:rsidRPr="00720DC2" w:rsidRDefault="008160B1" w:rsidP="00183E22">
      <w:pPr>
        <w:ind w:firstLine="700"/>
        <w:jc w:val="both"/>
        <w:outlineLvl w:val="0"/>
        <w:rPr>
          <w:i/>
          <w:lang w:val="uk-UA"/>
        </w:rPr>
      </w:pPr>
    </w:p>
    <w:p w:rsidR="00183E22" w:rsidRPr="00720DC2" w:rsidRDefault="00183E22" w:rsidP="00183E22">
      <w:pPr>
        <w:ind w:firstLine="700"/>
        <w:jc w:val="both"/>
        <w:outlineLvl w:val="0"/>
        <w:rPr>
          <w:i/>
          <w:lang w:val="uk-UA"/>
        </w:rPr>
      </w:pPr>
      <w:r w:rsidRPr="00720DC2">
        <w:rPr>
          <w:i/>
          <w:lang w:val="uk-UA"/>
        </w:rPr>
        <w:t>3.5 Промоція міста та розвиток туристичної галузі</w:t>
      </w:r>
    </w:p>
    <w:p w:rsidR="00A47CDC" w:rsidRDefault="00A47CDC" w:rsidP="004F3652">
      <w:pPr>
        <w:ind w:firstLine="708"/>
        <w:jc w:val="both"/>
        <w:rPr>
          <w:color w:val="000000"/>
          <w:lang w:val="uk-UA"/>
        </w:rPr>
      </w:pPr>
      <w:r>
        <w:rPr>
          <w:color w:val="000000"/>
          <w:lang w:val="uk-UA"/>
        </w:rPr>
        <w:t xml:space="preserve">В Івано-Франківську здійснюють свою діяльність 38 </w:t>
      </w:r>
      <w:r w:rsidRPr="00A47CDC">
        <w:rPr>
          <w:color w:val="000000"/>
          <w:lang w:val="uk-UA"/>
        </w:rPr>
        <w:t>суб’єктів туристичної діяльності</w:t>
      </w:r>
      <w:r>
        <w:rPr>
          <w:color w:val="000000"/>
          <w:lang w:val="uk-UA"/>
        </w:rPr>
        <w:t xml:space="preserve">, </w:t>
      </w:r>
      <w:r w:rsidRPr="00A47CDC">
        <w:rPr>
          <w:color w:val="000000"/>
          <w:lang w:val="uk-UA"/>
        </w:rPr>
        <w:t>56 закладів готельного типу із загальною кількістю місць близько 1800.</w:t>
      </w:r>
      <w:r w:rsidR="00183E22" w:rsidRPr="00720DC2">
        <w:rPr>
          <w:color w:val="000000"/>
          <w:lang w:val="uk-UA"/>
        </w:rPr>
        <w:t xml:space="preserve"> </w:t>
      </w:r>
    </w:p>
    <w:p w:rsidR="005F59F4" w:rsidRPr="005F59F4" w:rsidRDefault="00DD6435" w:rsidP="005F59F4">
      <w:pPr>
        <w:ind w:firstLine="709"/>
        <w:jc w:val="both"/>
        <w:rPr>
          <w:lang w:val="uk-UA"/>
        </w:rPr>
      </w:pPr>
      <w:r>
        <w:rPr>
          <w:lang w:val="uk-UA"/>
        </w:rPr>
        <w:t>У</w:t>
      </w:r>
      <w:r w:rsidR="004F3652" w:rsidRPr="00720DC2">
        <w:rPr>
          <w:lang w:val="uk-UA"/>
        </w:rPr>
        <w:t xml:space="preserve"> напрямку розвитку фестивального туризму в місті </w:t>
      </w:r>
      <w:r>
        <w:rPr>
          <w:lang w:val="uk-UA"/>
        </w:rPr>
        <w:t xml:space="preserve">у 2018 році </w:t>
      </w:r>
      <w:r w:rsidR="005F59F4">
        <w:rPr>
          <w:lang w:val="uk-UA"/>
        </w:rPr>
        <w:t>мешканці та гості міста мали змогу відвідати</w:t>
      </w:r>
      <w:r>
        <w:rPr>
          <w:lang w:val="uk-UA"/>
        </w:rPr>
        <w:t xml:space="preserve"> </w:t>
      </w:r>
      <w:r w:rsidR="005F59F4">
        <w:rPr>
          <w:lang w:val="uk-UA"/>
        </w:rPr>
        <w:t xml:space="preserve">різноманітні </w:t>
      </w:r>
      <w:r>
        <w:rPr>
          <w:lang w:val="uk-UA"/>
        </w:rPr>
        <w:t>фестивалі</w:t>
      </w:r>
      <w:r w:rsidR="005F59F4">
        <w:rPr>
          <w:lang w:val="uk-UA"/>
        </w:rPr>
        <w:t>, а саме</w:t>
      </w:r>
      <w:r w:rsidR="004F3652" w:rsidRPr="00720DC2">
        <w:rPr>
          <w:lang w:val="uk-UA"/>
        </w:rPr>
        <w:t xml:space="preserve">: </w:t>
      </w:r>
      <w:r>
        <w:rPr>
          <w:lang w:val="uk-UA"/>
        </w:rPr>
        <w:t>р</w:t>
      </w:r>
      <w:r w:rsidR="004F3652" w:rsidRPr="00720DC2">
        <w:rPr>
          <w:lang w:val="uk-UA"/>
        </w:rPr>
        <w:t>іздвян</w:t>
      </w:r>
      <w:r>
        <w:rPr>
          <w:lang w:val="uk-UA"/>
        </w:rPr>
        <w:t>ий фестиваль</w:t>
      </w:r>
      <w:r w:rsidR="004F3652" w:rsidRPr="00720DC2">
        <w:rPr>
          <w:lang w:val="uk-UA"/>
        </w:rPr>
        <w:t xml:space="preserve"> </w:t>
      </w:r>
      <w:r w:rsidR="00D4778A" w:rsidRPr="00720DC2">
        <w:rPr>
          <w:lang w:val="uk-UA"/>
        </w:rPr>
        <w:t>"</w:t>
      </w:r>
      <w:r w:rsidR="004F3652" w:rsidRPr="00720DC2">
        <w:rPr>
          <w:lang w:val="uk-UA"/>
        </w:rPr>
        <w:t>Коляда на Майзлях</w:t>
      </w:r>
      <w:r w:rsidR="00D4778A" w:rsidRPr="00720DC2">
        <w:rPr>
          <w:lang w:val="uk-UA"/>
        </w:rPr>
        <w:t>"</w:t>
      </w:r>
      <w:r>
        <w:rPr>
          <w:color w:val="000000"/>
          <w:lang w:val="uk-UA"/>
        </w:rPr>
        <w:t>,</w:t>
      </w:r>
      <w:r w:rsidR="004F3652" w:rsidRPr="00720DC2">
        <w:rPr>
          <w:color w:val="000000"/>
          <w:lang w:val="uk-UA"/>
        </w:rPr>
        <w:t xml:space="preserve"> </w:t>
      </w:r>
      <w:r w:rsidR="005F59F4">
        <w:rPr>
          <w:lang w:val="uk-UA"/>
        </w:rPr>
        <w:t>м</w:t>
      </w:r>
      <w:r w:rsidR="004F3652" w:rsidRPr="00720DC2">
        <w:rPr>
          <w:lang w:val="uk-UA"/>
        </w:rPr>
        <w:t>іжнародн</w:t>
      </w:r>
      <w:r w:rsidR="005F59F4">
        <w:rPr>
          <w:lang w:val="uk-UA"/>
        </w:rPr>
        <w:t>і</w:t>
      </w:r>
      <w:r w:rsidR="004F3652" w:rsidRPr="00720DC2">
        <w:rPr>
          <w:lang w:val="uk-UA"/>
        </w:rPr>
        <w:t xml:space="preserve"> фестивал</w:t>
      </w:r>
      <w:r w:rsidR="005F59F4">
        <w:rPr>
          <w:lang w:val="uk-UA"/>
        </w:rPr>
        <w:t>і</w:t>
      </w:r>
      <w:r w:rsidR="004F3652" w:rsidRPr="00720DC2">
        <w:rPr>
          <w:lang w:val="uk-UA"/>
        </w:rPr>
        <w:t xml:space="preserve"> </w:t>
      </w:r>
      <w:r w:rsidR="00D4778A" w:rsidRPr="00720DC2">
        <w:rPr>
          <w:lang w:val="uk-UA"/>
        </w:rPr>
        <w:t>"</w:t>
      </w:r>
      <w:r w:rsidR="004F3652" w:rsidRPr="00720DC2">
        <w:rPr>
          <w:lang w:val="uk-UA"/>
        </w:rPr>
        <w:t>Карпатський простір</w:t>
      </w:r>
      <w:r w:rsidR="00D4778A" w:rsidRPr="00720DC2">
        <w:rPr>
          <w:lang w:val="uk-UA"/>
        </w:rPr>
        <w:t>"</w:t>
      </w:r>
      <w:r w:rsidR="004F3652" w:rsidRPr="00720DC2">
        <w:rPr>
          <w:lang w:val="uk-UA"/>
        </w:rPr>
        <w:t xml:space="preserve"> та </w:t>
      </w:r>
      <w:r w:rsidR="00D4778A" w:rsidRPr="00720DC2">
        <w:rPr>
          <w:lang w:val="uk-UA"/>
        </w:rPr>
        <w:t>"</w:t>
      </w:r>
      <w:r w:rsidR="004F3652" w:rsidRPr="00720DC2">
        <w:rPr>
          <w:lang w:val="uk-UA"/>
        </w:rPr>
        <w:t>Свято ковалів</w:t>
      </w:r>
      <w:r w:rsidR="00D4778A" w:rsidRPr="00720DC2">
        <w:rPr>
          <w:lang w:val="uk-UA"/>
        </w:rPr>
        <w:t>"</w:t>
      </w:r>
      <w:r w:rsidR="005F59F4">
        <w:rPr>
          <w:lang w:val="uk-UA"/>
        </w:rPr>
        <w:t xml:space="preserve">, </w:t>
      </w:r>
      <w:r w:rsidR="004F3652" w:rsidRPr="00720DC2">
        <w:rPr>
          <w:lang w:val="uk-UA"/>
        </w:rPr>
        <w:t>фестивал</w:t>
      </w:r>
      <w:r w:rsidR="005F59F4">
        <w:rPr>
          <w:lang w:val="uk-UA"/>
        </w:rPr>
        <w:t>і</w:t>
      </w:r>
      <w:r w:rsidR="004F3652" w:rsidRPr="00720DC2">
        <w:rPr>
          <w:lang w:val="uk-UA"/>
        </w:rPr>
        <w:t>-ярмарк</w:t>
      </w:r>
      <w:r w:rsidR="005F59F4">
        <w:rPr>
          <w:lang w:val="uk-UA"/>
        </w:rPr>
        <w:t>и</w:t>
      </w:r>
      <w:r w:rsidR="004F3652" w:rsidRPr="00720DC2">
        <w:rPr>
          <w:lang w:val="uk-UA"/>
        </w:rPr>
        <w:t xml:space="preserve"> </w:t>
      </w:r>
      <w:r w:rsidR="00D4778A" w:rsidRPr="00720DC2">
        <w:rPr>
          <w:lang w:val="uk-UA"/>
        </w:rPr>
        <w:t>"</w:t>
      </w:r>
      <w:r w:rsidR="004F3652" w:rsidRPr="00720DC2">
        <w:rPr>
          <w:lang w:val="uk-UA"/>
        </w:rPr>
        <w:t>Свято меду</w:t>
      </w:r>
      <w:r w:rsidR="00D4778A" w:rsidRPr="00720DC2">
        <w:rPr>
          <w:lang w:val="uk-UA"/>
        </w:rPr>
        <w:t>"</w:t>
      </w:r>
      <w:r w:rsidR="004F3652" w:rsidRPr="00720DC2">
        <w:rPr>
          <w:lang w:val="uk-UA"/>
        </w:rPr>
        <w:t xml:space="preserve">, </w:t>
      </w:r>
      <w:r w:rsidR="00D4778A" w:rsidRPr="00720DC2">
        <w:rPr>
          <w:lang w:val="uk-UA"/>
        </w:rPr>
        <w:t>"</w:t>
      </w:r>
      <w:r w:rsidR="004F3652" w:rsidRPr="00720DC2">
        <w:rPr>
          <w:lang w:val="uk-UA"/>
        </w:rPr>
        <w:t>Свято винограду та вина</w:t>
      </w:r>
      <w:r w:rsidR="00D4778A" w:rsidRPr="00720DC2">
        <w:rPr>
          <w:lang w:val="uk-UA"/>
        </w:rPr>
        <w:t>"</w:t>
      </w:r>
      <w:r w:rsidR="004F3652" w:rsidRPr="00720DC2">
        <w:rPr>
          <w:lang w:val="uk-UA"/>
        </w:rPr>
        <w:t xml:space="preserve">, </w:t>
      </w:r>
      <w:r w:rsidR="00D4778A" w:rsidRPr="00720DC2">
        <w:rPr>
          <w:lang w:val="uk-UA"/>
        </w:rPr>
        <w:t>"</w:t>
      </w:r>
      <w:r w:rsidR="004F3652" w:rsidRPr="00720DC2">
        <w:rPr>
          <w:lang w:val="uk-UA"/>
        </w:rPr>
        <w:t>Свято хліба та сиру</w:t>
      </w:r>
      <w:r w:rsidR="00D4778A" w:rsidRPr="00720DC2">
        <w:rPr>
          <w:lang w:val="uk-UA"/>
        </w:rPr>
        <w:t>"</w:t>
      </w:r>
      <w:r w:rsidR="005F59F4">
        <w:rPr>
          <w:lang w:val="uk-UA"/>
        </w:rPr>
        <w:t xml:space="preserve">, </w:t>
      </w:r>
      <w:r w:rsidR="005F59F4" w:rsidRPr="00720DC2">
        <w:rPr>
          <w:lang w:val="uk-UA"/>
        </w:rPr>
        <w:t>виставк</w:t>
      </w:r>
      <w:r w:rsidR="005F59F4">
        <w:rPr>
          <w:lang w:val="uk-UA"/>
        </w:rPr>
        <w:t>у</w:t>
      </w:r>
      <w:r w:rsidR="005F59F4" w:rsidRPr="00720DC2">
        <w:rPr>
          <w:lang w:val="uk-UA"/>
        </w:rPr>
        <w:t>-ярмарок "Прикарпатський вернісаж"</w:t>
      </w:r>
      <w:r w:rsidR="004F3652" w:rsidRPr="00720DC2">
        <w:rPr>
          <w:lang w:val="uk-UA"/>
        </w:rPr>
        <w:t>.</w:t>
      </w:r>
      <w:r w:rsidR="005F59F4">
        <w:rPr>
          <w:lang w:val="uk-UA"/>
        </w:rPr>
        <w:t xml:space="preserve"> </w:t>
      </w:r>
      <w:r w:rsidR="005F59F4" w:rsidRPr="005F59F4">
        <w:rPr>
          <w:lang w:val="uk-UA"/>
        </w:rPr>
        <w:t xml:space="preserve">А також в рамках святкування Дня міста Івано-Франківська проведено перший етнофестиваль "Край.ка", під час якого місцеві дизайнери – представники малого підприємництва </w:t>
      </w:r>
      <w:r w:rsidR="00277403">
        <w:rPr>
          <w:lang w:val="uk-UA"/>
        </w:rPr>
        <w:t>в</w:t>
      </w:r>
      <w:r w:rsidR="005F59F4" w:rsidRPr="005F59F4">
        <w:rPr>
          <w:lang w:val="uk-UA"/>
        </w:rPr>
        <w:t xml:space="preserve"> Івано-Франківську - презентували франківцям та гостям міста традиційний національний одяг з етнічними мотивами. </w:t>
      </w:r>
    </w:p>
    <w:p w:rsidR="004F3652" w:rsidRPr="00720DC2" w:rsidRDefault="004F3652" w:rsidP="004F3652">
      <w:pPr>
        <w:tabs>
          <w:tab w:val="left" w:pos="709"/>
        </w:tabs>
        <w:ind w:firstLine="708"/>
        <w:jc w:val="both"/>
        <w:rPr>
          <w:lang w:val="uk-UA"/>
        </w:rPr>
      </w:pPr>
      <w:r w:rsidRPr="00720DC2">
        <w:rPr>
          <w:lang w:val="uk-UA"/>
        </w:rPr>
        <w:t xml:space="preserve">В рамках реалізації угод про співпрацю Івано-Франківська з курортними містами Моршин, Трускавець, Яремче організовано та проведено промотур для представників влади і туристичної сфери, під час якого учасники мали змогу обговорити ряд важливих питань щодо взаємної співпраці та шляхів вирішення проблемних питань галузі, розвитку транспортної інфраструктури та сполучення. </w:t>
      </w:r>
    </w:p>
    <w:p w:rsidR="004F3652" w:rsidRPr="00720DC2" w:rsidRDefault="004F3652" w:rsidP="004F3652">
      <w:pPr>
        <w:ind w:firstLine="720"/>
        <w:jc w:val="both"/>
        <w:textAlignment w:val="baseline"/>
        <w:rPr>
          <w:lang w:val="uk-UA"/>
        </w:rPr>
      </w:pPr>
      <w:r w:rsidRPr="00720DC2">
        <w:rPr>
          <w:lang w:val="uk-UA"/>
        </w:rPr>
        <w:t xml:space="preserve">У Туристично-інвестиційному центрі реалізовувався проект фахової підготовки екскурсоводів для міста Івано-Франківська – курси екскурсоводів, які провели методисти та практикуючі гіди, сертифіковані тренери Федерації європейських гідів (FEG), члени ГО </w:t>
      </w:r>
      <w:r w:rsidR="00D4778A" w:rsidRPr="00720DC2">
        <w:rPr>
          <w:lang w:val="uk-UA"/>
        </w:rPr>
        <w:t>"</w:t>
      </w:r>
      <w:r w:rsidRPr="00720DC2">
        <w:rPr>
          <w:lang w:val="uk-UA"/>
        </w:rPr>
        <w:t>Всеукраїнська асоціація гідів</w:t>
      </w:r>
      <w:r w:rsidR="00D4778A" w:rsidRPr="00720DC2">
        <w:rPr>
          <w:lang w:val="uk-UA"/>
        </w:rPr>
        <w:t>"</w:t>
      </w:r>
      <w:r w:rsidRPr="00720DC2">
        <w:rPr>
          <w:lang w:val="uk-UA"/>
        </w:rPr>
        <w:t xml:space="preserve">, викладачі вищих навчальних закладів Києва та Івано-Франківська. </w:t>
      </w:r>
    </w:p>
    <w:p w:rsidR="004F3652" w:rsidRPr="00720DC2" w:rsidRDefault="004F3652" w:rsidP="004F3652">
      <w:pPr>
        <w:ind w:firstLine="708"/>
        <w:jc w:val="both"/>
        <w:rPr>
          <w:lang w:val="uk-UA"/>
        </w:rPr>
      </w:pPr>
      <w:r w:rsidRPr="00720DC2">
        <w:rPr>
          <w:lang w:val="uk-UA"/>
        </w:rPr>
        <w:t xml:space="preserve">Завершена робота </w:t>
      </w:r>
      <w:r w:rsidR="00F8712F">
        <w:rPr>
          <w:lang w:val="uk-UA"/>
        </w:rPr>
        <w:t>з ознакування</w:t>
      </w:r>
      <w:r w:rsidRPr="00720DC2">
        <w:rPr>
          <w:lang w:val="uk-UA"/>
        </w:rPr>
        <w:t xml:space="preserve"> велосипедного т</w:t>
      </w:r>
      <w:r w:rsidR="00F8712F">
        <w:rPr>
          <w:lang w:val="uk-UA"/>
        </w:rPr>
        <w:t xml:space="preserve">уристично-екологічного маршруту </w:t>
      </w:r>
      <w:r w:rsidR="00D4778A" w:rsidRPr="00720DC2">
        <w:rPr>
          <w:lang w:val="uk-UA"/>
        </w:rPr>
        <w:t>"</w:t>
      </w:r>
      <w:r w:rsidRPr="00720DC2">
        <w:rPr>
          <w:lang w:val="uk-UA"/>
        </w:rPr>
        <w:t>Козакова долина</w:t>
      </w:r>
      <w:r w:rsidR="00D4778A" w:rsidRPr="00720DC2">
        <w:rPr>
          <w:lang w:val="uk-UA"/>
        </w:rPr>
        <w:t>"</w:t>
      </w:r>
      <w:r w:rsidRPr="00720DC2">
        <w:rPr>
          <w:lang w:val="uk-UA"/>
        </w:rPr>
        <w:t xml:space="preserve"> (м.Івано-Франківськ - с.Вовчинець – висота Березовець (352 м н.р.м.) - ур. Козакова долина - с.Ганнусівка - с.Узин - с.Колодіївка - м. Івано-Франківськ) загальною довжиною 30 км. </w:t>
      </w:r>
    </w:p>
    <w:p w:rsidR="004F3652" w:rsidRPr="00720DC2" w:rsidRDefault="004F3652" w:rsidP="004F3652">
      <w:pPr>
        <w:ind w:firstLine="708"/>
        <w:jc w:val="both"/>
        <w:rPr>
          <w:lang w:val="uk-UA"/>
        </w:rPr>
      </w:pPr>
      <w:r w:rsidRPr="00720DC2">
        <w:rPr>
          <w:lang w:val="uk-UA"/>
        </w:rPr>
        <w:t xml:space="preserve">Туристичний потенціал міста презентовано на різноманітних форумах та виставках, у тому числі міжнародних, серед яких: </w:t>
      </w:r>
      <w:r w:rsidR="00D4778A" w:rsidRPr="00720DC2">
        <w:rPr>
          <w:lang w:val="uk-UA"/>
        </w:rPr>
        <w:t>"</w:t>
      </w:r>
      <w:r w:rsidRPr="00720DC2">
        <w:rPr>
          <w:lang w:val="uk-UA"/>
        </w:rPr>
        <w:t>ITB BERLIN 2018</w:t>
      </w:r>
      <w:r w:rsidR="00D4778A" w:rsidRPr="00720DC2">
        <w:rPr>
          <w:lang w:val="uk-UA"/>
        </w:rPr>
        <w:t>"</w:t>
      </w:r>
      <w:r w:rsidRPr="00720DC2">
        <w:rPr>
          <w:lang w:val="uk-UA"/>
        </w:rPr>
        <w:t xml:space="preserve"> </w:t>
      </w:r>
      <w:r w:rsidR="00F8712F">
        <w:rPr>
          <w:lang w:val="uk-UA"/>
        </w:rPr>
        <w:t>у</w:t>
      </w:r>
      <w:r w:rsidRPr="00720DC2">
        <w:rPr>
          <w:lang w:val="uk-UA"/>
        </w:rPr>
        <w:t xml:space="preserve"> м.Берліні (Німеччина), Дунайський салон, що проходив під час виставки </w:t>
      </w:r>
      <w:r w:rsidR="00F8712F">
        <w:rPr>
          <w:lang w:val="uk-UA"/>
        </w:rPr>
        <w:t>у</w:t>
      </w:r>
      <w:r w:rsidRPr="00720DC2">
        <w:rPr>
          <w:lang w:val="uk-UA"/>
        </w:rPr>
        <w:t xml:space="preserve"> м.Берлін, туристичний ярмарок </w:t>
      </w:r>
      <w:r w:rsidR="00D4778A" w:rsidRPr="00720DC2">
        <w:rPr>
          <w:lang w:val="uk-UA"/>
        </w:rPr>
        <w:t>"</w:t>
      </w:r>
      <w:r w:rsidRPr="00720DC2">
        <w:rPr>
          <w:lang w:val="uk-UA"/>
        </w:rPr>
        <w:t>В бік сонця</w:t>
      </w:r>
      <w:r w:rsidR="00D4778A" w:rsidRPr="00720DC2">
        <w:rPr>
          <w:lang w:val="uk-UA"/>
        </w:rPr>
        <w:t>"</w:t>
      </w:r>
      <w:r w:rsidRPr="00720DC2">
        <w:rPr>
          <w:lang w:val="uk-UA"/>
        </w:rPr>
        <w:t xml:space="preserve"> в м.Ополє (Польща), TT Warsaw </w:t>
      </w:r>
      <w:r w:rsidR="00F8712F">
        <w:rPr>
          <w:lang w:val="uk-UA"/>
        </w:rPr>
        <w:t>у</w:t>
      </w:r>
      <w:r w:rsidRPr="00720DC2">
        <w:rPr>
          <w:lang w:val="uk-UA"/>
        </w:rPr>
        <w:t xml:space="preserve"> м.Варшава (Польща), міжнародна туристична виставка </w:t>
      </w:r>
      <w:r w:rsidR="00D4778A" w:rsidRPr="00720DC2">
        <w:rPr>
          <w:lang w:val="uk-UA"/>
        </w:rPr>
        <w:t>"</w:t>
      </w:r>
      <w:r w:rsidRPr="00720DC2">
        <w:rPr>
          <w:lang w:val="uk-UA"/>
        </w:rPr>
        <w:t>Україна - Подорожі та Туризм</w:t>
      </w:r>
      <w:r w:rsidR="00D4778A" w:rsidRPr="00720DC2">
        <w:rPr>
          <w:lang w:val="uk-UA"/>
        </w:rPr>
        <w:t>"</w:t>
      </w:r>
      <w:r w:rsidRPr="00720DC2">
        <w:rPr>
          <w:lang w:val="uk-UA"/>
        </w:rPr>
        <w:t xml:space="preserve">  </w:t>
      </w:r>
      <w:r w:rsidR="00D4778A" w:rsidRPr="00720DC2">
        <w:rPr>
          <w:lang w:val="uk-UA"/>
        </w:rPr>
        <w:t>"</w:t>
      </w:r>
      <w:r w:rsidRPr="00720DC2">
        <w:rPr>
          <w:lang w:val="uk-UA"/>
        </w:rPr>
        <w:t>UITT 2018</w:t>
      </w:r>
      <w:r w:rsidR="00D4778A" w:rsidRPr="00720DC2">
        <w:rPr>
          <w:lang w:val="uk-UA"/>
        </w:rPr>
        <w:t>"</w:t>
      </w:r>
      <w:r w:rsidRPr="00720DC2">
        <w:rPr>
          <w:lang w:val="uk-UA"/>
        </w:rPr>
        <w:t xml:space="preserve"> </w:t>
      </w:r>
      <w:r w:rsidR="00F8712F">
        <w:rPr>
          <w:lang w:val="uk-UA"/>
        </w:rPr>
        <w:t>у</w:t>
      </w:r>
      <w:r w:rsidRPr="00720DC2">
        <w:rPr>
          <w:lang w:val="uk-UA"/>
        </w:rPr>
        <w:t xml:space="preserve"> м.Києві, міжнародний туристичний </w:t>
      </w:r>
      <w:r w:rsidRPr="00720DC2">
        <w:rPr>
          <w:lang w:val="uk-UA"/>
        </w:rPr>
        <w:lastRenderedPageBreak/>
        <w:t xml:space="preserve">тиждень </w:t>
      </w:r>
      <w:r w:rsidR="00F8712F">
        <w:rPr>
          <w:lang w:val="uk-UA"/>
        </w:rPr>
        <w:t>у</w:t>
      </w:r>
      <w:r w:rsidRPr="00720DC2">
        <w:rPr>
          <w:lang w:val="uk-UA"/>
        </w:rPr>
        <w:t xml:space="preserve"> м.Одесі, міжнародна виставка-ярмарок </w:t>
      </w:r>
      <w:r w:rsidR="00D4778A" w:rsidRPr="00720DC2">
        <w:rPr>
          <w:lang w:val="uk-UA"/>
        </w:rPr>
        <w:t>"</w:t>
      </w:r>
      <w:r w:rsidRPr="00720DC2">
        <w:rPr>
          <w:lang w:val="uk-UA"/>
        </w:rPr>
        <w:t>Тур’євроцетр – Закарпаття 2018</w:t>
      </w:r>
      <w:r w:rsidR="00D4778A" w:rsidRPr="00720DC2">
        <w:rPr>
          <w:lang w:val="uk-UA"/>
        </w:rPr>
        <w:t>"</w:t>
      </w:r>
      <w:r w:rsidRPr="00720DC2">
        <w:rPr>
          <w:lang w:val="uk-UA"/>
        </w:rPr>
        <w:t xml:space="preserve"> </w:t>
      </w:r>
      <w:r w:rsidR="00F8712F">
        <w:rPr>
          <w:lang w:val="uk-UA"/>
        </w:rPr>
        <w:t>у</w:t>
      </w:r>
      <w:r w:rsidRPr="00720DC2">
        <w:rPr>
          <w:lang w:val="uk-UA"/>
        </w:rPr>
        <w:t xml:space="preserve"> м.Ужгороді, міжнародний туристичний салон </w:t>
      </w:r>
      <w:r w:rsidR="00D4778A" w:rsidRPr="00720DC2">
        <w:rPr>
          <w:lang w:val="uk-UA"/>
        </w:rPr>
        <w:t>"</w:t>
      </w:r>
      <w:r w:rsidRPr="00720DC2">
        <w:rPr>
          <w:lang w:val="uk-UA"/>
        </w:rPr>
        <w:t>Україна – UITM’2018</w:t>
      </w:r>
      <w:r w:rsidR="00D4778A" w:rsidRPr="00720DC2">
        <w:rPr>
          <w:lang w:val="uk-UA"/>
        </w:rPr>
        <w:t>"</w:t>
      </w:r>
      <w:r w:rsidRPr="00720DC2">
        <w:rPr>
          <w:lang w:val="uk-UA"/>
        </w:rPr>
        <w:t xml:space="preserve"> </w:t>
      </w:r>
      <w:r w:rsidR="00F8712F">
        <w:rPr>
          <w:lang w:val="uk-UA"/>
        </w:rPr>
        <w:t>у</w:t>
      </w:r>
      <w:r w:rsidRPr="00720DC2">
        <w:rPr>
          <w:lang w:val="uk-UA"/>
        </w:rPr>
        <w:t xml:space="preserve"> м.Києві, ХІХ міжнародна виставка </w:t>
      </w:r>
      <w:r w:rsidR="00D4778A" w:rsidRPr="00720DC2">
        <w:rPr>
          <w:lang w:val="uk-UA"/>
        </w:rPr>
        <w:t>"</w:t>
      </w:r>
      <w:r w:rsidRPr="00720DC2">
        <w:rPr>
          <w:lang w:val="uk-UA"/>
        </w:rPr>
        <w:t>ТурЕКСПО 2018</w:t>
      </w:r>
      <w:r w:rsidR="00D4778A" w:rsidRPr="00720DC2">
        <w:rPr>
          <w:lang w:val="uk-UA"/>
        </w:rPr>
        <w:t>"</w:t>
      </w:r>
      <w:r w:rsidRPr="00720DC2">
        <w:rPr>
          <w:lang w:val="uk-UA"/>
        </w:rPr>
        <w:t xml:space="preserve"> </w:t>
      </w:r>
      <w:r w:rsidR="00F8712F">
        <w:rPr>
          <w:lang w:val="uk-UA"/>
        </w:rPr>
        <w:t>у</w:t>
      </w:r>
      <w:r w:rsidRPr="00720DC2">
        <w:rPr>
          <w:lang w:val="uk-UA"/>
        </w:rPr>
        <w:t xml:space="preserve"> рамках  Львівського міжнародного форуму індустрії туризму та гостинності, Міжнародний ярмарок високоякісної продукції </w:t>
      </w:r>
      <w:r w:rsidR="00D4778A" w:rsidRPr="00720DC2">
        <w:rPr>
          <w:lang w:val="uk-UA"/>
        </w:rPr>
        <w:t>"</w:t>
      </w:r>
      <w:r w:rsidRPr="00720DC2">
        <w:rPr>
          <w:lang w:val="uk-UA"/>
        </w:rPr>
        <w:t>Еко-Гала</w:t>
      </w:r>
      <w:r w:rsidR="00D4778A" w:rsidRPr="00720DC2">
        <w:rPr>
          <w:lang w:val="uk-UA"/>
        </w:rPr>
        <w:t>"</w:t>
      </w:r>
      <w:r w:rsidRPr="00720DC2">
        <w:rPr>
          <w:lang w:val="uk-UA"/>
        </w:rPr>
        <w:t xml:space="preserve"> </w:t>
      </w:r>
      <w:r w:rsidR="00F8712F">
        <w:rPr>
          <w:lang w:val="uk-UA"/>
        </w:rPr>
        <w:t>у</w:t>
      </w:r>
      <w:r w:rsidRPr="00720DC2">
        <w:rPr>
          <w:lang w:val="uk-UA"/>
        </w:rPr>
        <w:t xml:space="preserve"> </w:t>
      </w:r>
      <w:r w:rsidR="00F8712F">
        <w:rPr>
          <w:lang w:val="uk-UA"/>
        </w:rPr>
        <w:t>м.</w:t>
      </w:r>
      <w:r w:rsidRPr="00720DC2">
        <w:rPr>
          <w:lang w:val="uk-UA"/>
        </w:rPr>
        <w:t>Жешові (Польща).</w:t>
      </w:r>
    </w:p>
    <w:p w:rsidR="004F3652" w:rsidRPr="00720DC2" w:rsidRDefault="004F3652" w:rsidP="004F3652">
      <w:pPr>
        <w:ind w:firstLine="708"/>
        <w:jc w:val="both"/>
        <w:rPr>
          <w:lang w:val="uk-UA"/>
        </w:rPr>
      </w:pPr>
      <w:r w:rsidRPr="00720DC2">
        <w:rPr>
          <w:lang w:val="uk-UA"/>
        </w:rPr>
        <w:t xml:space="preserve">21 травня проведено туристичний квест на тему: </w:t>
      </w:r>
      <w:r w:rsidR="00D4778A" w:rsidRPr="00720DC2">
        <w:rPr>
          <w:lang w:val="uk-UA"/>
        </w:rPr>
        <w:t>"</w:t>
      </w:r>
      <w:r w:rsidRPr="00720DC2">
        <w:rPr>
          <w:lang w:val="uk-UA"/>
        </w:rPr>
        <w:t>Пізнаємо Івано-Франківськ</w:t>
      </w:r>
      <w:r w:rsidR="00D4778A" w:rsidRPr="00720DC2">
        <w:rPr>
          <w:lang w:val="uk-UA"/>
        </w:rPr>
        <w:t>"</w:t>
      </w:r>
      <w:r w:rsidRPr="00720DC2">
        <w:rPr>
          <w:lang w:val="uk-UA"/>
        </w:rPr>
        <w:t xml:space="preserve"> для учнів шкіл міста з метою пропаганди туристичної привабливості міста, ознайомлення учнів шкіл з його історичним минулим та сьогоденням.</w:t>
      </w:r>
    </w:p>
    <w:p w:rsidR="004F3652" w:rsidRPr="00720DC2" w:rsidRDefault="004F3652" w:rsidP="004F3652">
      <w:pPr>
        <w:ind w:firstLine="708"/>
        <w:jc w:val="both"/>
        <w:rPr>
          <w:b/>
          <w:lang w:val="uk-UA"/>
        </w:rPr>
      </w:pPr>
      <w:r w:rsidRPr="00720DC2">
        <w:rPr>
          <w:lang w:val="uk-UA"/>
        </w:rPr>
        <w:t xml:space="preserve">У рамках українсько-канадського проекту </w:t>
      </w:r>
      <w:r w:rsidR="00D4778A" w:rsidRPr="00720DC2">
        <w:rPr>
          <w:lang w:val="uk-UA"/>
        </w:rPr>
        <w:t>"</w:t>
      </w:r>
      <w:r w:rsidRPr="00720DC2">
        <w:rPr>
          <w:lang w:val="uk-UA"/>
        </w:rPr>
        <w:t>Партнерство для розвитку міст</w:t>
      </w:r>
      <w:r w:rsidR="00D4778A" w:rsidRPr="00720DC2">
        <w:rPr>
          <w:lang w:val="uk-UA"/>
        </w:rPr>
        <w:t>"</w:t>
      </w:r>
      <w:r w:rsidRPr="00720DC2">
        <w:rPr>
          <w:lang w:val="uk-UA"/>
        </w:rPr>
        <w:t xml:space="preserve"> (ПРОМІС) проводилась робота над розробкою бренду м.Івано-Франківська та маркетингової стратегії міста. За результатами конкурсу на кращу розробку дизайну бренда міста Івано-Франківська було обрано варіант, що максимально відображає впізнаваність міста.</w:t>
      </w:r>
    </w:p>
    <w:p w:rsidR="00F869B8" w:rsidRDefault="004F3652" w:rsidP="004F3652">
      <w:pPr>
        <w:ind w:firstLine="708"/>
        <w:jc w:val="both"/>
        <w:rPr>
          <w:lang w:val="uk-UA"/>
        </w:rPr>
      </w:pPr>
      <w:r w:rsidRPr="00720DC2">
        <w:rPr>
          <w:lang w:val="uk-UA"/>
        </w:rPr>
        <w:t xml:space="preserve"> </w:t>
      </w:r>
      <w:r w:rsidR="00F869B8">
        <w:rPr>
          <w:lang w:val="uk-UA"/>
        </w:rPr>
        <w:t xml:space="preserve">Впроваджено новий </w:t>
      </w:r>
      <w:r w:rsidRPr="00720DC2">
        <w:rPr>
          <w:lang w:val="uk-UA"/>
        </w:rPr>
        <w:t>мобільн</w:t>
      </w:r>
      <w:r w:rsidR="00F869B8">
        <w:rPr>
          <w:lang w:val="uk-UA"/>
        </w:rPr>
        <w:t>ий</w:t>
      </w:r>
      <w:r w:rsidRPr="00720DC2">
        <w:rPr>
          <w:lang w:val="uk-UA"/>
        </w:rPr>
        <w:t xml:space="preserve"> додат</w:t>
      </w:r>
      <w:r w:rsidR="00F869B8">
        <w:rPr>
          <w:lang w:val="uk-UA"/>
        </w:rPr>
        <w:t>о</w:t>
      </w:r>
      <w:r w:rsidRPr="00720DC2">
        <w:rPr>
          <w:lang w:val="uk-UA"/>
        </w:rPr>
        <w:t xml:space="preserve">к </w:t>
      </w:r>
      <w:r w:rsidR="00D4778A" w:rsidRPr="00720DC2">
        <w:rPr>
          <w:lang w:val="uk-UA"/>
        </w:rPr>
        <w:t>"</w:t>
      </w:r>
      <w:r w:rsidRPr="00720DC2">
        <w:rPr>
          <w:lang w:val="uk-UA"/>
        </w:rPr>
        <w:t>Відвідай Івано-Франківськ</w:t>
      </w:r>
      <w:r w:rsidR="00D4778A" w:rsidRPr="00720DC2">
        <w:rPr>
          <w:lang w:val="uk-UA"/>
        </w:rPr>
        <w:t>"</w:t>
      </w:r>
      <w:r w:rsidRPr="00720DC2">
        <w:rPr>
          <w:lang w:val="uk-UA"/>
        </w:rPr>
        <w:t>, розроблен</w:t>
      </w:r>
      <w:r w:rsidR="00F869B8">
        <w:rPr>
          <w:lang w:val="uk-UA"/>
        </w:rPr>
        <w:t>ий</w:t>
      </w:r>
      <w:r w:rsidRPr="00720DC2">
        <w:rPr>
          <w:lang w:val="uk-UA"/>
        </w:rPr>
        <w:t xml:space="preserve"> за сприяння </w:t>
      </w:r>
      <w:hyperlink r:id="rId19" w:tgtFrame="_blank" w:history="1">
        <w:r w:rsidRPr="00F869B8">
          <w:rPr>
            <w:rStyle w:val="aa"/>
            <w:color w:val="auto"/>
            <w:u w:val="none"/>
            <w:lang w:val="uk-UA"/>
          </w:rPr>
          <w:t xml:space="preserve">українсько-канадського </w:t>
        </w:r>
        <w:r w:rsidR="00277403">
          <w:rPr>
            <w:rStyle w:val="aa"/>
            <w:color w:val="auto"/>
            <w:u w:val="none"/>
            <w:lang w:val="uk-UA"/>
          </w:rPr>
          <w:t>п</w:t>
        </w:r>
        <w:r w:rsidRPr="00F869B8">
          <w:rPr>
            <w:rStyle w:val="aa"/>
            <w:color w:val="auto"/>
            <w:u w:val="none"/>
            <w:lang w:val="uk-UA"/>
          </w:rPr>
          <w:t>роекту ПРОМІС</w:t>
        </w:r>
      </w:hyperlink>
      <w:r w:rsidRPr="00720DC2">
        <w:rPr>
          <w:lang w:val="uk-UA"/>
        </w:rPr>
        <w:t xml:space="preserve"> в рамках </w:t>
      </w:r>
      <w:r w:rsidR="00F869B8">
        <w:rPr>
          <w:lang w:val="uk-UA"/>
        </w:rPr>
        <w:t xml:space="preserve">реалізації </w:t>
      </w:r>
      <w:r w:rsidRPr="00720DC2">
        <w:rPr>
          <w:lang w:val="uk-UA"/>
        </w:rPr>
        <w:t xml:space="preserve">проекту </w:t>
      </w:r>
      <w:r w:rsidR="00D4778A" w:rsidRPr="00720DC2">
        <w:rPr>
          <w:lang w:val="uk-UA"/>
        </w:rPr>
        <w:t>"</w:t>
      </w:r>
      <w:r w:rsidRPr="00720DC2">
        <w:rPr>
          <w:lang w:val="uk-UA"/>
        </w:rPr>
        <w:t>Розумний туризм в Івано-Франківську</w:t>
      </w:r>
      <w:r w:rsidR="00D4778A" w:rsidRPr="00720DC2">
        <w:rPr>
          <w:lang w:val="uk-UA"/>
        </w:rPr>
        <w:t>"</w:t>
      </w:r>
      <w:r w:rsidR="00F869B8">
        <w:rPr>
          <w:lang w:val="uk-UA"/>
        </w:rPr>
        <w:t>.</w:t>
      </w:r>
      <w:r w:rsidRPr="00720DC2">
        <w:rPr>
          <w:lang w:val="uk-UA"/>
        </w:rPr>
        <w:t xml:space="preserve">  </w:t>
      </w:r>
    </w:p>
    <w:p w:rsidR="004F3652" w:rsidRPr="00720DC2" w:rsidRDefault="004F3652" w:rsidP="004F3652">
      <w:pPr>
        <w:ind w:firstLine="708"/>
        <w:jc w:val="both"/>
        <w:rPr>
          <w:lang w:val="uk-UA"/>
        </w:rPr>
      </w:pPr>
      <w:r w:rsidRPr="00720DC2">
        <w:rPr>
          <w:lang w:val="uk-UA"/>
        </w:rPr>
        <w:t xml:space="preserve">Спільно з Центром польської культури та європейського діалогу в Івано-Франківську в рамках міжнародного проекту молодіжної європейської програми Erasmus+ </w:t>
      </w:r>
      <w:r w:rsidR="00D4778A" w:rsidRPr="00720DC2">
        <w:rPr>
          <w:lang w:val="uk-UA"/>
        </w:rPr>
        <w:t>"</w:t>
      </w:r>
      <w:r w:rsidRPr="00720DC2">
        <w:rPr>
          <w:lang w:val="uk-UA"/>
        </w:rPr>
        <w:t>The voice of history</w:t>
      </w:r>
      <w:r w:rsidR="00D4778A" w:rsidRPr="00720DC2">
        <w:rPr>
          <w:lang w:val="uk-UA"/>
        </w:rPr>
        <w:t>"</w:t>
      </w:r>
      <w:r w:rsidRPr="00720DC2">
        <w:rPr>
          <w:lang w:val="uk-UA"/>
        </w:rPr>
        <w:t xml:space="preserve"> створено новий туристичний маршрут під назвою </w:t>
      </w:r>
      <w:r w:rsidR="00D4778A" w:rsidRPr="00720DC2">
        <w:rPr>
          <w:lang w:val="uk-UA"/>
        </w:rPr>
        <w:t>"</w:t>
      </w:r>
      <w:r w:rsidRPr="00720DC2">
        <w:rPr>
          <w:lang w:val="uk-UA"/>
        </w:rPr>
        <w:t>Місто-зірка</w:t>
      </w:r>
      <w:r w:rsidR="00D4778A" w:rsidRPr="00720DC2">
        <w:rPr>
          <w:lang w:val="uk-UA"/>
        </w:rPr>
        <w:t>"</w:t>
      </w:r>
      <w:r w:rsidRPr="00720DC2">
        <w:rPr>
          <w:lang w:val="uk-UA"/>
        </w:rPr>
        <w:t xml:space="preserve"> на основі історичних даних, який охоплює майже 40 локацій по місту. Мета - створення інтерактивного квесту про історію міста за допомогою QR-кодів, розташованих на/або біля будівель чи пам’ятників. </w:t>
      </w:r>
    </w:p>
    <w:p w:rsidR="00277403" w:rsidRDefault="004F3652" w:rsidP="004F3652">
      <w:pPr>
        <w:ind w:firstLine="708"/>
        <w:jc w:val="both"/>
        <w:rPr>
          <w:lang w:val="uk-UA"/>
        </w:rPr>
      </w:pPr>
      <w:r w:rsidRPr="00720DC2">
        <w:rPr>
          <w:lang w:val="uk-UA"/>
        </w:rPr>
        <w:t xml:space="preserve">За ініціативи та за участю </w:t>
      </w:r>
      <w:r w:rsidR="00247917">
        <w:rPr>
          <w:lang w:val="uk-UA"/>
        </w:rPr>
        <w:t>г</w:t>
      </w:r>
      <w:r w:rsidRPr="00720DC2">
        <w:rPr>
          <w:lang w:val="uk-UA"/>
        </w:rPr>
        <w:t xml:space="preserve">ромадської організації </w:t>
      </w:r>
      <w:r w:rsidR="00D4778A" w:rsidRPr="00720DC2">
        <w:rPr>
          <w:lang w:val="uk-UA"/>
        </w:rPr>
        <w:t>"</w:t>
      </w:r>
      <w:r w:rsidRPr="00720DC2">
        <w:rPr>
          <w:lang w:val="uk-UA"/>
        </w:rPr>
        <w:t>Парі-ІФ</w:t>
      </w:r>
      <w:r w:rsidR="00D4778A" w:rsidRPr="00720DC2">
        <w:rPr>
          <w:lang w:val="uk-UA"/>
        </w:rPr>
        <w:t>"</w:t>
      </w:r>
      <w:r w:rsidRPr="00720DC2">
        <w:rPr>
          <w:lang w:val="uk-UA"/>
        </w:rPr>
        <w:t>/</w:t>
      </w:r>
      <w:r w:rsidR="00D4778A" w:rsidRPr="00720DC2">
        <w:rPr>
          <w:lang w:val="uk-UA"/>
        </w:rPr>
        <w:t>"</w:t>
      </w:r>
      <w:r w:rsidRPr="00720DC2">
        <w:rPr>
          <w:lang w:val="uk-UA"/>
        </w:rPr>
        <w:t>Paris-IF</w:t>
      </w:r>
      <w:r w:rsidR="00D4778A" w:rsidRPr="00720DC2">
        <w:rPr>
          <w:lang w:val="uk-UA"/>
        </w:rPr>
        <w:t>"</w:t>
      </w:r>
      <w:r w:rsidRPr="00720DC2">
        <w:rPr>
          <w:lang w:val="uk-UA"/>
        </w:rPr>
        <w:t xml:space="preserve"> і </w:t>
      </w:r>
      <w:r w:rsidR="00D4778A" w:rsidRPr="00720DC2">
        <w:rPr>
          <w:lang w:val="uk-UA"/>
        </w:rPr>
        <w:t>"</w:t>
      </w:r>
      <w:r w:rsidRPr="00720DC2">
        <w:rPr>
          <w:lang w:val="uk-UA"/>
        </w:rPr>
        <w:t>Chuhaister Pétanque Club</w:t>
      </w:r>
      <w:r w:rsidR="00D4778A" w:rsidRPr="00720DC2">
        <w:rPr>
          <w:lang w:val="uk-UA"/>
        </w:rPr>
        <w:t>"</w:t>
      </w:r>
      <w:r w:rsidRPr="00720DC2">
        <w:rPr>
          <w:lang w:val="uk-UA"/>
        </w:rPr>
        <w:t xml:space="preserve">, а також за підтримки Івано-Франківської міської ради проходив турнір з петанку </w:t>
      </w:r>
      <w:r w:rsidR="00D4778A" w:rsidRPr="00720DC2">
        <w:rPr>
          <w:lang w:val="uk-UA"/>
        </w:rPr>
        <w:t>"</w:t>
      </w:r>
      <w:r w:rsidRPr="00720DC2">
        <w:rPr>
          <w:lang w:val="uk-UA"/>
        </w:rPr>
        <w:t>Cochonnet doré</w:t>
      </w:r>
      <w:r w:rsidR="00D4778A" w:rsidRPr="00720DC2">
        <w:rPr>
          <w:lang w:val="uk-UA"/>
        </w:rPr>
        <w:t>"</w:t>
      </w:r>
      <w:r w:rsidRPr="00720DC2">
        <w:rPr>
          <w:lang w:val="uk-UA"/>
        </w:rPr>
        <w:t xml:space="preserve"> або </w:t>
      </w:r>
      <w:r w:rsidR="00D4778A" w:rsidRPr="00720DC2">
        <w:rPr>
          <w:lang w:val="uk-UA"/>
        </w:rPr>
        <w:t>"</w:t>
      </w:r>
      <w:r w:rsidRPr="00720DC2">
        <w:rPr>
          <w:lang w:val="uk-UA"/>
        </w:rPr>
        <w:t>Золотий кошонет</w:t>
      </w:r>
      <w:r w:rsidR="00D4778A" w:rsidRPr="00720DC2">
        <w:rPr>
          <w:lang w:val="uk-UA"/>
        </w:rPr>
        <w:t>"</w:t>
      </w:r>
      <w:r w:rsidR="00277403">
        <w:rPr>
          <w:lang w:val="uk-UA"/>
        </w:rPr>
        <w:t xml:space="preserve"> – французької національної гри</w:t>
      </w:r>
      <w:r w:rsidRPr="00720DC2">
        <w:rPr>
          <w:lang w:val="uk-UA"/>
        </w:rPr>
        <w:t xml:space="preserve">. </w:t>
      </w:r>
    </w:p>
    <w:p w:rsidR="004F3652" w:rsidRPr="00720DC2" w:rsidRDefault="004F3652" w:rsidP="004F3652">
      <w:pPr>
        <w:ind w:firstLine="708"/>
        <w:jc w:val="both"/>
        <w:rPr>
          <w:rFonts w:eastAsia="Calibri"/>
          <w:lang w:val="uk-UA"/>
        </w:rPr>
      </w:pPr>
      <w:r w:rsidRPr="00720DC2">
        <w:rPr>
          <w:rFonts w:eastAsia="Calibri"/>
          <w:lang w:val="uk-UA"/>
        </w:rPr>
        <w:t xml:space="preserve">Також проводиться робота з облаштування інформаційно-туристичних стендів, кіосків на зупинках громадського транспорту та автостанціях приміського і міжміського сполучення, оновлено карту-схему міста на площі Ринок, випущено інформаційно-промоційну продукцію про Івано-Франківськ (туристичний путівник, карти, буклети, календарі, презентаційний комплект листівок </w:t>
      </w:r>
      <w:r w:rsidR="00D4778A" w:rsidRPr="00720DC2">
        <w:rPr>
          <w:rFonts w:eastAsia="Calibri"/>
          <w:lang w:val="uk-UA"/>
        </w:rPr>
        <w:t>"</w:t>
      </w:r>
      <w:r w:rsidRPr="00720DC2">
        <w:rPr>
          <w:rFonts w:eastAsia="Calibri"/>
          <w:lang w:val="uk-UA"/>
        </w:rPr>
        <w:t>Івано-Франківськ</w:t>
      </w:r>
      <w:r w:rsidR="00D4778A" w:rsidRPr="00720DC2">
        <w:rPr>
          <w:rFonts w:eastAsia="Calibri"/>
          <w:lang w:val="uk-UA"/>
        </w:rPr>
        <w:t>"</w:t>
      </w:r>
      <w:r w:rsidR="00277403">
        <w:rPr>
          <w:rFonts w:eastAsia="Calibri"/>
          <w:lang w:val="uk-UA"/>
        </w:rPr>
        <w:t xml:space="preserve"> тощо), створено ряд промоцій</w:t>
      </w:r>
      <w:r w:rsidRPr="00720DC2">
        <w:rPr>
          <w:rFonts w:eastAsia="Calibri"/>
          <w:lang w:val="uk-UA"/>
        </w:rPr>
        <w:t xml:space="preserve">них відео-роликів українською та англійською мовами. </w:t>
      </w:r>
    </w:p>
    <w:p w:rsidR="00540CCC" w:rsidRPr="00720DC2" w:rsidRDefault="004F3652" w:rsidP="004F3652">
      <w:pPr>
        <w:tabs>
          <w:tab w:val="num" w:pos="720"/>
        </w:tabs>
        <w:jc w:val="both"/>
        <w:rPr>
          <w:b/>
          <w:lang w:val="uk-UA"/>
        </w:rPr>
      </w:pPr>
      <w:r w:rsidRPr="00720DC2">
        <w:rPr>
          <w:b/>
          <w:lang w:val="uk-UA"/>
        </w:rPr>
        <w:tab/>
      </w:r>
    </w:p>
    <w:p w:rsidR="00183E22" w:rsidRPr="00720DC2" w:rsidRDefault="00183E22" w:rsidP="00183E22">
      <w:pPr>
        <w:pStyle w:val="ab"/>
        <w:tabs>
          <w:tab w:val="left" w:pos="709"/>
        </w:tabs>
        <w:spacing w:before="0" w:beforeAutospacing="0" w:after="0" w:afterAutospacing="0"/>
        <w:ind w:firstLine="700"/>
        <w:jc w:val="both"/>
        <w:rPr>
          <w:i/>
          <w:color w:val="000000"/>
          <w:sz w:val="28"/>
          <w:szCs w:val="28"/>
          <w:lang w:val="uk-UA"/>
        </w:rPr>
      </w:pPr>
      <w:r w:rsidRPr="00720DC2">
        <w:rPr>
          <w:i/>
          <w:color w:val="000000"/>
          <w:sz w:val="28"/>
          <w:szCs w:val="28"/>
          <w:lang w:val="uk-UA"/>
        </w:rPr>
        <w:tab/>
        <w:t>3.6 Розвиток міжнародного співробітництва</w:t>
      </w:r>
    </w:p>
    <w:p w:rsidR="004F3652" w:rsidRPr="00720DC2" w:rsidRDefault="004F3652" w:rsidP="004F3652">
      <w:pPr>
        <w:ind w:firstLine="708"/>
        <w:jc w:val="both"/>
        <w:rPr>
          <w:shd w:val="clear" w:color="auto" w:fill="FFFFFF"/>
          <w:lang w:val="uk-UA"/>
        </w:rPr>
      </w:pPr>
      <w:r w:rsidRPr="00720DC2">
        <w:rPr>
          <w:shd w:val="clear" w:color="auto" w:fill="FFFFFF"/>
          <w:lang w:val="uk-UA"/>
        </w:rPr>
        <w:t xml:space="preserve">За активну популяризацію європейського ідеалу за результатами 2017 року Парламентська Асамблея Ради Європи у 2018 році присудила місту Івано-Франківську щорічну премію Приз Європи (Europe prize). Урочисте вручення премії представниками ПАРЄ відбулось 28 вересня 2018 року в рамках ІV Міжнародного інвестиційно-економічного форуму </w:t>
      </w:r>
      <w:r w:rsidR="00D4778A" w:rsidRPr="00720DC2">
        <w:rPr>
          <w:shd w:val="clear" w:color="auto" w:fill="FFFFFF"/>
          <w:lang w:val="uk-UA"/>
        </w:rPr>
        <w:t>"</w:t>
      </w:r>
      <w:r w:rsidRPr="00720DC2">
        <w:rPr>
          <w:shd w:val="clear" w:color="auto" w:fill="FFFFFF"/>
          <w:lang w:val="uk-UA"/>
        </w:rPr>
        <w:t>Партнерство і перспектива</w:t>
      </w:r>
      <w:r w:rsidR="00D4778A" w:rsidRPr="00720DC2">
        <w:rPr>
          <w:shd w:val="clear" w:color="auto" w:fill="FFFFFF"/>
          <w:lang w:val="uk-UA"/>
        </w:rPr>
        <w:t>"</w:t>
      </w:r>
      <w:r w:rsidRPr="00720DC2">
        <w:rPr>
          <w:shd w:val="clear" w:color="auto" w:fill="FFFFFF"/>
          <w:lang w:val="uk-UA"/>
        </w:rPr>
        <w:t xml:space="preserve">. </w:t>
      </w:r>
      <w:r w:rsidRPr="00720DC2">
        <w:rPr>
          <w:lang w:val="uk-UA"/>
        </w:rPr>
        <w:t>Ця нагорода є доказом визнання досягнень міста в поширенні інтеграційних ідей європейської єдності. Н</w:t>
      </w:r>
      <w:r w:rsidRPr="00720DC2">
        <w:rPr>
          <w:shd w:val="clear" w:color="auto" w:fill="FFFFFF"/>
          <w:lang w:val="uk-UA"/>
        </w:rPr>
        <w:t xml:space="preserve">а базі вищих навчальних закладів, шкіл та бібліотек проводились тематичні пізнавальні і культурні заходи, спрямовані на інформування громадськості міста про Євросоюз та </w:t>
      </w:r>
      <w:r w:rsidRPr="00720DC2">
        <w:rPr>
          <w:shd w:val="clear" w:color="auto" w:fill="FFFFFF"/>
          <w:lang w:val="uk-UA"/>
        </w:rPr>
        <w:lastRenderedPageBreak/>
        <w:t>євроінтеграцію. До участі в молодіжному концерті, присвяченому врученню місту Призу Європи, були запрошені  три мистецькі колективи з міст-побратимів у Польщі та Молдові.</w:t>
      </w:r>
    </w:p>
    <w:p w:rsidR="004F3652" w:rsidRPr="00720DC2" w:rsidRDefault="004F3652" w:rsidP="004F3652">
      <w:pPr>
        <w:tabs>
          <w:tab w:val="left" w:pos="709"/>
          <w:tab w:val="center" w:pos="4677"/>
          <w:tab w:val="right" w:pos="9355"/>
        </w:tabs>
        <w:ind w:firstLine="851"/>
        <w:jc w:val="both"/>
        <w:rPr>
          <w:lang w:val="uk-UA"/>
        </w:rPr>
      </w:pPr>
      <w:r w:rsidRPr="00720DC2">
        <w:rPr>
          <w:lang w:val="uk-UA"/>
        </w:rPr>
        <w:t xml:space="preserve">Місто Івано-Франківськ має документально оформлені </w:t>
      </w:r>
      <w:r w:rsidR="00AB70B7">
        <w:rPr>
          <w:lang w:val="uk-UA"/>
        </w:rPr>
        <w:t xml:space="preserve">партнерські </w:t>
      </w:r>
      <w:r w:rsidRPr="00720DC2">
        <w:rPr>
          <w:lang w:val="uk-UA"/>
        </w:rPr>
        <w:t xml:space="preserve">зв’язки з 24 містами зарубіжжя, серед яких міста Польщі, Угорщини, Чехії, Румунії, Білорусі, Литви, Латвії, Молдови, Грузії, Португалії та США. </w:t>
      </w:r>
    </w:p>
    <w:p w:rsidR="004F3652" w:rsidRPr="00720DC2" w:rsidRDefault="004F3652" w:rsidP="004F3652">
      <w:pPr>
        <w:tabs>
          <w:tab w:val="left" w:pos="709"/>
          <w:tab w:val="center" w:pos="4677"/>
          <w:tab w:val="right" w:pos="9355"/>
        </w:tabs>
        <w:ind w:firstLine="851"/>
        <w:jc w:val="both"/>
        <w:rPr>
          <w:lang w:val="uk-UA"/>
        </w:rPr>
      </w:pPr>
      <w:r w:rsidRPr="00720DC2">
        <w:rPr>
          <w:lang w:val="uk-UA"/>
        </w:rPr>
        <w:t xml:space="preserve">З метою сприяння розвитку міжнародного співробітництва організовувалась робота в рамках підписаних угод про співпрацю між містами. </w:t>
      </w:r>
      <w:r w:rsidR="00AB70B7">
        <w:rPr>
          <w:lang w:val="uk-UA"/>
        </w:rPr>
        <w:t>У</w:t>
      </w:r>
      <w:r w:rsidRPr="00720DC2">
        <w:rPr>
          <w:lang w:val="uk-UA"/>
        </w:rPr>
        <w:t xml:space="preserve"> напрямку розширення міжнародної співпраці продовжується робота </w:t>
      </w:r>
      <w:r w:rsidR="00AB70B7">
        <w:rPr>
          <w:lang w:val="uk-UA"/>
        </w:rPr>
        <w:t>з налагодження</w:t>
      </w:r>
      <w:r w:rsidRPr="00720DC2">
        <w:rPr>
          <w:lang w:val="uk-UA"/>
        </w:rPr>
        <w:t xml:space="preserve"> партнерства з м.Рочестер (США), з</w:t>
      </w:r>
      <w:r w:rsidRPr="00720DC2">
        <w:rPr>
          <w:spacing w:val="-2"/>
          <w:w w:val="102"/>
          <w:lang w:val="uk-UA"/>
        </w:rPr>
        <w:t xml:space="preserve"> містом Брешія (Італія) та за сприяння Посла КНР - з  містом Наньнін</w:t>
      </w:r>
      <w:r w:rsidRPr="00720DC2">
        <w:rPr>
          <w:lang w:val="uk-UA"/>
        </w:rPr>
        <w:t>.</w:t>
      </w:r>
    </w:p>
    <w:p w:rsidR="004F3652" w:rsidRPr="00720DC2" w:rsidRDefault="004F3652" w:rsidP="004F3652">
      <w:pPr>
        <w:tabs>
          <w:tab w:val="left" w:pos="709"/>
          <w:tab w:val="center" w:pos="4677"/>
          <w:tab w:val="right" w:pos="9355"/>
        </w:tabs>
        <w:ind w:firstLine="851"/>
        <w:jc w:val="both"/>
        <w:rPr>
          <w:lang w:val="uk-UA"/>
        </w:rPr>
      </w:pPr>
      <w:r w:rsidRPr="00720DC2">
        <w:rPr>
          <w:lang w:val="uk-UA"/>
        </w:rPr>
        <w:t xml:space="preserve">Організовано 32 міжнародних візити представників виконавчого комітету Івано-Франківської міської ради, депутатського корпусу, працівників охорони здоров’я до поріднених і партнерських міст за кордоном (Краків, Бидгощ, Жешув, Кошалін, Хшанів, Хшанівський повіт, Дільниця Охота ст.м. Варшава, Ополє, Рибнік, Люблін, Криниця-Здруй, Зєльона Гура, Свідніца, Ченстохова (Польща), Прага, Пршерув (Чехія),  Брест (Білорусь), Тракай (Литва), Єлгава, (Латвія), Стрешенський район (Республіка Молдова), Бая-Маре (Румунія), Ніредьгаза (Угорщина), Руставі (Грузія), Кліші (Франція), Радеберг (Німеччина), Брага (Португалія), Шаосінь, Наньнін (КНР) з метою участі в урочистих та мистецьких заходах з нагоди заснування міст-партнерів, фестивалях, форумах та виставках-ярмарках. </w:t>
      </w:r>
    </w:p>
    <w:p w:rsidR="004F3652" w:rsidRPr="00720DC2" w:rsidRDefault="004F3652" w:rsidP="004F3652">
      <w:pPr>
        <w:ind w:firstLine="708"/>
        <w:jc w:val="both"/>
        <w:rPr>
          <w:lang w:val="uk-UA"/>
        </w:rPr>
      </w:pPr>
      <w:r w:rsidRPr="00720DC2">
        <w:rPr>
          <w:w w:val="102"/>
          <w:lang w:val="uk-UA"/>
        </w:rPr>
        <w:t xml:space="preserve">З метою активізації співпраці </w:t>
      </w:r>
      <w:r w:rsidRPr="00720DC2">
        <w:rPr>
          <w:spacing w:val="-1"/>
          <w:w w:val="102"/>
          <w:lang w:val="uk-UA"/>
        </w:rPr>
        <w:t xml:space="preserve">міста з </w:t>
      </w:r>
      <w:r w:rsidRPr="00720DC2">
        <w:rPr>
          <w:spacing w:val="-2"/>
          <w:w w:val="102"/>
          <w:lang w:val="uk-UA"/>
        </w:rPr>
        <w:t xml:space="preserve">міжнародними організаціями досягнуто домовленості про створення в місті </w:t>
      </w:r>
      <w:r w:rsidRPr="00720DC2">
        <w:rPr>
          <w:lang w:val="uk-UA"/>
        </w:rPr>
        <w:t xml:space="preserve">громадської організації </w:t>
      </w:r>
      <w:r w:rsidR="00D4778A" w:rsidRPr="00720DC2">
        <w:rPr>
          <w:lang w:val="uk-UA"/>
        </w:rPr>
        <w:t>"</w:t>
      </w:r>
      <w:r w:rsidRPr="00720DC2">
        <w:rPr>
          <w:lang w:val="uk-UA"/>
        </w:rPr>
        <w:t>Альянс Франсез</w:t>
      </w:r>
      <w:r w:rsidR="00D4778A" w:rsidRPr="00720DC2">
        <w:rPr>
          <w:lang w:val="uk-UA"/>
        </w:rPr>
        <w:t>"</w:t>
      </w:r>
      <w:r w:rsidRPr="00720DC2">
        <w:rPr>
          <w:lang w:val="uk-UA"/>
        </w:rPr>
        <w:t>, яка, крім поширення французької мови та культури, виконуватиме неофіційні представницькі функції Посольства Франції у всіх галузях франко-українських відносин</w:t>
      </w:r>
      <w:r w:rsidRPr="00720DC2">
        <w:rPr>
          <w:color w:val="000000"/>
          <w:lang w:val="uk-UA"/>
        </w:rPr>
        <w:t>. Крім того, на рівні керівництва міст обговоре</w:t>
      </w:r>
      <w:r w:rsidR="00AB70B7">
        <w:rPr>
          <w:color w:val="000000"/>
          <w:lang w:val="uk-UA"/>
        </w:rPr>
        <w:t>но можливість створення у місті-</w:t>
      </w:r>
      <w:r w:rsidRPr="00720DC2">
        <w:rPr>
          <w:color w:val="000000"/>
          <w:lang w:val="uk-UA"/>
        </w:rPr>
        <w:t>партнері Жешові  (Польща) центру української культури. Також налагоджено діалог з Урядом міста Жешова щодо пошуку інвестора та можливого його залучення до проекту</w:t>
      </w:r>
      <w:r w:rsidRPr="00720DC2">
        <w:rPr>
          <w:lang w:val="uk-UA"/>
        </w:rPr>
        <w:t>, метою якого є ревіталізація Палацу Потоцьких та створення нового українсько-польського конгрес-центру.</w:t>
      </w:r>
    </w:p>
    <w:p w:rsidR="004F3652" w:rsidRPr="00720DC2" w:rsidRDefault="004F3652" w:rsidP="004F3652">
      <w:pPr>
        <w:tabs>
          <w:tab w:val="left" w:pos="709"/>
          <w:tab w:val="center" w:pos="4677"/>
          <w:tab w:val="right" w:pos="9355"/>
        </w:tabs>
        <w:ind w:firstLine="709"/>
        <w:jc w:val="both"/>
        <w:rPr>
          <w:lang w:val="uk-UA"/>
        </w:rPr>
      </w:pPr>
      <w:r w:rsidRPr="00720DC2">
        <w:rPr>
          <w:lang w:val="uk-UA"/>
        </w:rPr>
        <w:tab/>
        <w:t xml:space="preserve">Івано-Франківськ відвідала 51 іноземна делегація. Забезпечено організацію на належному рівні зустрічей влади міста з представниками неурядових міжнародних організацій та делегацій з дипломатичних іноземних представництв. </w:t>
      </w:r>
    </w:p>
    <w:p w:rsidR="004F3652" w:rsidRPr="00720DC2" w:rsidRDefault="004F3652" w:rsidP="004F3652">
      <w:pPr>
        <w:pStyle w:val="ab"/>
        <w:shd w:val="clear" w:color="auto" w:fill="FFFFFF"/>
        <w:spacing w:before="0" w:beforeAutospacing="0" w:after="0" w:afterAutospacing="0"/>
        <w:ind w:firstLine="709"/>
        <w:jc w:val="both"/>
        <w:rPr>
          <w:sz w:val="28"/>
          <w:szCs w:val="28"/>
          <w:shd w:val="clear" w:color="auto" w:fill="FFFFFF"/>
          <w:lang w:val="uk-UA"/>
        </w:rPr>
      </w:pPr>
      <w:r w:rsidRPr="00720DC2">
        <w:rPr>
          <w:color w:val="000000"/>
          <w:sz w:val="28"/>
          <w:szCs w:val="28"/>
          <w:lang w:val="uk-UA"/>
        </w:rPr>
        <w:t>В рамках продовження співпраці з містами</w:t>
      </w:r>
      <w:r w:rsidR="00105EE0">
        <w:rPr>
          <w:color w:val="000000"/>
          <w:sz w:val="28"/>
          <w:szCs w:val="28"/>
          <w:lang w:val="uk-UA"/>
        </w:rPr>
        <w:t>-партнерами</w:t>
      </w:r>
      <w:r w:rsidRPr="00720DC2">
        <w:rPr>
          <w:color w:val="000000"/>
          <w:sz w:val="28"/>
          <w:szCs w:val="28"/>
          <w:lang w:val="uk-UA"/>
        </w:rPr>
        <w:t xml:space="preserve"> забезпечено участь хорових колективів з поріднених міст Польщі – Жешова та Любліна, а також Румунії – міста Ясси у Різдвяному фестивалі </w:t>
      </w:r>
      <w:r w:rsidR="00D4778A" w:rsidRPr="00720DC2">
        <w:rPr>
          <w:sz w:val="28"/>
          <w:szCs w:val="28"/>
          <w:lang w:val="uk-UA"/>
        </w:rPr>
        <w:t>"</w:t>
      </w:r>
      <w:r w:rsidRPr="00720DC2">
        <w:rPr>
          <w:color w:val="000000"/>
          <w:sz w:val="28"/>
          <w:szCs w:val="28"/>
          <w:lang w:val="uk-UA"/>
        </w:rPr>
        <w:t>Коляда на Майзлях</w:t>
      </w:r>
      <w:r w:rsidR="00D4778A" w:rsidRPr="00720DC2">
        <w:rPr>
          <w:sz w:val="28"/>
          <w:szCs w:val="28"/>
          <w:lang w:val="uk-UA"/>
        </w:rPr>
        <w:t>"</w:t>
      </w:r>
      <w:r w:rsidRPr="00720DC2">
        <w:rPr>
          <w:color w:val="000000"/>
          <w:sz w:val="28"/>
          <w:szCs w:val="28"/>
          <w:lang w:val="uk-UA"/>
        </w:rPr>
        <w:t xml:space="preserve">. </w:t>
      </w:r>
      <w:r w:rsidRPr="00720DC2">
        <w:rPr>
          <w:sz w:val="28"/>
          <w:szCs w:val="28"/>
          <w:lang w:val="uk-UA"/>
        </w:rPr>
        <w:t xml:space="preserve">Мистецька Фундація </w:t>
      </w:r>
      <w:r w:rsidR="00D4778A" w:rsidRPr="00720DC2">
        <w:rPr>
          <w:sz w:val="28"/>
          <w:szCs w:val="28"/>
          <w:lang w:val="uk-UA"/>
        </w:rPr>
        <w:t>"</w:t>
      </w:r>
      <w:r w:rsidRPr="00720DC2">
        <w:rPr>
          <w:sz w:val="28"/>
          <w:szCs w:val="28"/>
          <w:lang w:val="uk-UA"/>
        </w:rPr>
        <w:t>Арс Актива</w:t>
      </w:r>
      <w:r w:rsidR="00D4778A" w:rsidRPr="00720DC2">
        <w:rPr>
          <w:sz w:val="28"/>
          <w:szCs w:val="28"/>
          <w:lang w:val="uk-UA"/>
        </w:rPr>
        <w:t>"</w:t>
      </w:r>
      <w:r w:rsidRPr="00720DC2">
        <w:rPr>
          <w:sz w:val="28"/>
          <w:szCs w:val="28"/>
          <w:lang w:val="uk-UA"/>
        </w:rPr>
        <w:t xml:space="preserve"> з Зєльоної Гури  взяла участь в урочистому концерті </w:t>
      </w:r>
      <w:r w:rsidR="00D4778A" w:rsidRPr="00720DC2">
        <w:rPr>
          <w:sz w:val="28"/>
          <w:szCs w:val="28"/>
          <w:lang w:val="uk-UA"/>
        </w:rPr>
        <w:t>"</w:t>
      </w:r>
      <w:r w:rsidRPr="00720DC2">
        <w:rPr>
          <w:sz w:val="28"/>
          <w:szCs w:val="28"/>
          <w:lang w:val="uk-UA"/>
        </w:rPr>
        <w:t>В дусі свободи</w:t>
      </w:r>
      <w:r w:rsidR="00D4778A" w:rsidRPr="00720DC2">
        <w:rPr>
          <w:sz w:val="28"/>
          <w:szCs w:val="28"/>
          <w:lang w:val="uk-UA"/>
        </w:rPr>
        <w:t>"</w:t>
      </w:r>
      <w:r w:rsidRPr="00720DC2">
        <w:rPr>
          <w:sz w:val="28"/>
          <w:szCs w:val="28"/>
          <w:lang w:val="uk-UA"/>
        </w:rPr>
        <w:t xml:space="preserve">, що відбувся у травні в Івано-Франківську в рамках Днів </w:t>
      </w:r>
      <w:r w:rsidR="00AB70B7">
        <w:rPr>
          <w:sz w:val="28"/>
          <w:szCs w:val="28"/>
          <w:lang w:val="uk-UA"/>
        </w:rPr>
        <w:t>п</w:t>
      </w:r>
      <w:r w:rsidRPr="00720DC2">
        <w:rPr>
          <w:sz w:val="28"/>
          <w:szCs w:val="28"/>
          <w:lang w:val="uk-UA"/>
        </w:rPr>
        <w:t>ольської культури.</w:t>
      </w:r>
    </w:p>
    <w:p w:rsidR="004F3652" w:rsidRPr="00720DC2" w:rsidRDefault="004F3652" w:rsidP="004F3652">
      <w:pPr>
        <w:pStyle w:val="ab"/>
        <w:shd w:val="clear" w:color="auto" w:fill="FFFFFF"/>
        <w:spacing w:before="0" w:beforeAutospacing="0" w:after="0" w:afterAutospacing="0"/>
        <w:ind w:firstLine="708"/>
        <w:jc w:val="both"/>
        <w:rPr>
          <w:sz w:val="28"/>
          <w:szCs w:val="28"/>
          <w:lang w:val="uk-UA"/>
        </w:rPr>
      </w:pPr>
      <w:r w:rsidRPr="00720DC2">
        <w:rPr>
          <w:sz w:val="28"/>
          <w:szCs w:val="28"/>
          <w:lang w:val="uk-UA"/>
        </w:rPr>
        <w:t xml:space="preserve">Здійснено ряд організаційних заходів з проведення в Івано-Франківську четвертої </w:t>
      </w:r>
      <w:r w:rsidR="00D4778A" w:rsidRPr="00720DC2">
        <w:rPr>
          <w:sz w:val="28"/>
          <w:szCs w:val="28"/>
          <w:lang w:val="uk-UA"/>
        </w:rPr>
        <w:t>"</w:t>
      </w:r>
      <w:r w:rsidRPr="00720DC2">
        <w:rPr>
          <w:sz w:val="28"/>
          <w:szCs w:val="28"/>
          <w:lang w:val="uk-UA"/>
        </w:rPr>
        <w:t>Великодньої поїздки за свободу і єдність України та мир в усій Європі</w:t>
      </w:r>
      <w:r w:rsidR="00D4778A" w:rsidRPr="00720DC2">
        <w:rPr>
          <w:sz w:val="28"/>
          <w:szCs w:val="28"/>
          <w:lang w:val="uk-UA"/>
        </w:rPr>
        <w:t>"</w:t>
      </w:r>
      <w:r w:rsidRPr="00720DC2">
        <w:rPr>
          <w:sz w:val="28"/>
          <w:szCs w:val="28"/>
          <w:lang w:val="uk-UA"/>
        </w:rPr>
        <w:t>, учасниками якої були громадяни Німеччини.</w:t>
      </w:r>
    </w:p>
    <w:p w:rsidR="004F3652" w:rsidRPr="00720DC2" w:rsidRDefault="004F3652" w:rsidP="004F3652">
      <w:pPr>
        <w:ind w:firstLine="708"/>
        <w:jc w:val="both"/>
        <w:rPr>
          <w:lang w:val="uk-UA"/>
        </w:rPr>
      </w:pPr>
      <w:r w:rsidRPr="00720DC2">
        <w:rPr>
          <w:lang w:val="uk-UA"/>
        </w:rPr>
        <w:lastRenderedPageBreak/>
        <w:t>Організовано поїздку 20-особової групи дітей разом з опікунами на запрошення Уряду партнерського міста Рибнік для оздоровлення у спортивно-рекреаційному осередку в місті Бєльско Бяле.</w:t>
      </w:r>
    </w:p>
    <w:p w:rsidR="004F3652" w:rsidRPr="00720DC2" w:rsidRDefault="004F3652" w:rsidP="004F3652">
      <w:pPr>
        <w:ind w:firstLine="708"/>
        <w:jc w:val="both"/>
        <w:rPr>
          <w:lang w:val="uk-UA"/>
        </w:rPr>
      </w:pPr>
      <w:r w:rsidRPr="00720DC2">
        <w:rPr>
          <w:lang w:val="uk-UA"/>
        </w:rPr>
        <w:t xml:space="preserve">Також організовано поїздку групи студентської молоді з Івано-Франківська у село Корчмин Томашівського повіту Люблінського воєводства, де студенти протягом 5 днів впорядковували могили своїх предків. </w:t>
      </w:r>
    </w:p>
    <w:p w:rsidR="004F3652" w:rsidRPr="00720DC2" w:rsidRDefault="004F3652" w:rsidP="004F3652">
      <w:pPr>
        <w:pStyle w:val="a7"/>
        <w:tabs>
          <w:tab w:val="left" w:pos="709"/>
          <w:tab w:val="center" w:pos="4677"/>
          <w:tab w:val="right" w:pos="9355"/>
        </w:tabs>
        <w:spacing w:after="0"/>
        <w:ind w:left="0" w:firstLine="709"/>
        <w:jc w:val="both"/>
        <w:rPr>
          <w:sz w:val="28"/>
          <w:szCs w:val="28"/>
          <w:lang w:val="uk-UA"/>
        </w:rPr>
      </w:pPr>
      <w:r w:rsidRPr="00720DC2">
        <w:rPr>
          <w:sz w:val="28"/>
          <w:szCs w:val="28"/>
          <w:lang w:val="uk-UA"/>
        </w:rPr>
        <w:t xml:space="preserve">27 вересня в рамках заходів з відзначення Дня туризму в Івано-Франківську за підтримки </w:t>
      </w:r>
      <w:r w:rsidR="00AB70B7">
        <w:rPr>
          <w:sz w:val="28"/>
          <w:szCs w:val="28"/>
          <w:lang w:val="uk-UA"/>
        </w:rPr>
        <w:t xml:space="preserve">міської влади </w:t>
      </w:r>
      <w:r w:rsidRPr="00720DC2">
        <w:rPr>
          <w:sz w:val="28"/>
          <w:szCs w:val="28"/>
          <w:lang w:val="uk-UA"/>
        </w:rPr>
        <w:t xml:space="preserve">та ГО </w:t>
      </w:r>
      <w:r w:rsidR="00D4778A" w:rsidRPr="00720DC2">
        <w:rPr>
          <w:sz w:val="28"/>
          <w:szCs w:val="28"/>
          <w:lang w:val="uk-UA"/>
        </w:rPr>
        <w:t>"</w:t>
      </w:r>
      <w:r w:rsidRPr="00720DC2">
        <w:rPr>
          <w:sz w:val="28"/>
          <w:szCs w:val="28"/>
          <w:lang w:val="uk-UA"/>
        </w:rPr>
        <w:t>Асоціації індустрії гостинності України</w:t>
      </w:r>
      <w:r w:rsidR="00D4778A" w:rsidRPr="00720DC2">
        <w:rPr>
          <w:sz w:val="28"/>
          <w:szCs w:val="28"/>
          <w:lang w:val="uk-UA"/>
        </w:rPr>
        <w:t>"</w:t>
      </w:r>
      <w:r w:rsidRPr="00720DC2">
        <w:rPr>
          <w:sz w:val="28"/>
          <w:szCs w:val="28"/>
          <w:lang w:val="uk-UA"/>
        </w:rPr>
        <w:t xml:space="preserve"> проходив ФАМ-тріп та гостинний прийом канадських туроператорів.</w:t>
      </w:r>
    </w:p>
    <w:p w:rsidR="004F3652" w:rsidRPr="00720DC2" w:rsidRDefault="00AB70B7" w:rsidP="004F3652">
      <w:pPr>
        <w:pStyle w:val="a7"/>
        <w:tabs>
          <w:tab w:val="left" w:pos="709"/>
          <w:tab w:val="center" w:pos="4677"/>
          <w:tab w:val="right" w:pos="9355"/>
        </w:tabs>
        <w:spacing w:after="0"/>
        <w:ind w:left="0" w:firstLine="709"/>
        <w:jc w:val="both"/>
        <w:rPr>
          <w:sz w:val="28"/>
          <w:szCs w:val="28"/>
          <w:lang w:val="uk-UA"/>
        </w:rPr>
      </w:pPr>
      <w:r>
        <w:rPr>
          <w:sz w:val="28"/>
          <w:szCs w:val="28"/>
          <w:lang w:val="uk-UA"/>
        </w:rPr>
        <w:t>У</w:t>
      </w:r>
      <w:r w:rsidR="004F3652" w:rsidRPr="00720DC2">
        <w:rPr>
          <w:sz w:val="28"/>
          <w:szCs w:val="28"/>
          <w:lang w:val="uk-UA"/>
        </w:rPr>
        <w:t xml:space="preserve"> рамках святкової програми з нагоди 100-літнього ювілею незалежності Польщі в листопаді в Івано-Франківську відбувся </w:t>
      </w:r>
      <w:r w:rsidR="00D4778A" w:rsidRPr="00720DC2">
        <w:rPr>
          <w:sz w:val="28"/>
          <w:szCs w:val="28"/>
          <w:lang w:val="uk-UA"/>
        </w:rPr>
        <w:t>"</w:t>
      </w:r>
      <w:r w:rsidR="004F3652" w:rsidRPr="00720DC2">
        <w:rPr>
          <w:sz w:val="28"/>
          <w:szCs w:val="28"/>
          <w:lang w:val="uk-UA"/>
        </w:rPr>
        <w:t xml:space="preserve">7  Перегляд сучасного польського кіно </w:t>
      </w:r>
      <w:r w:rsidR="00D4778A" w:rsidRPr="00720DC2">
        <w:rPr>
          <w:sz w:val="28"/>
          <w:szCs w:val="28"/>
          <w:lang w:val="uk-UA"/>
        </w:rPr>
        <w:t>"</w:t>
      </w:r>
      <w:r w:rsidR="004F3652" w:rsidRPr="00720DC2">
        <w:rPr>
          <w:sz w:val="28"/>
          <w:szCs w:val="28"/>
          <w:lang w:val="uk-UA"/>
        </w:rPr>
        <w:t>Під Високим Замком</w:t>
      </w:r>
      <w:r w:rsidR="00D4778A" w:rsidRPr="00720DC2">
        <w:rPr>
          <w:sz w:val="28"/>
          <w:szCs w:val="28"/>
          <w:lang w:val="uk-UA"/>
        </w:rPr>
        <w:t>"</w:t>
      </w:r>
      <w:r w:rsidR="004F3652" w:rsidRPr="00720DC2">
        <w:rPr>
          <w:sz w:val="28"/>
          <w:szCs w:val="28"/>
          <w:lang w:val="uk-UA"/>
        </w:rPr>
        <w:t>.</w:t>
      </w:r>
    </w:p>
    <w:p w:rsidR="004F3652" w:rsidRPr="00720DC2" w:rsidRDefault="004F3652" w:rsidP="004F3652">
      <w:pPr>
        <w:pStyle w:val="a7"/>
        <w:tabs>
          <w:tab w:val="left" w:pos="709"/>
          <w:tab w:val="center" w:pos="4677"/>
          <w:tab w:val="right" w:pos="9355"/>
        </w:tabs>
        <w:spacing w:after="0"/>
        <w:ind w:left="0" w:firstLine="709"/>
        <w:jc w:val="both"/>
        <w:rPr>
          <w:sz w:val="28"/>
          <w:szCs w:val="28"/>
          <w:lang w:val="uk-UA"/>
        </w:rPr>
      </w:pPr>
      <w:r w:rsidRPr="00720DC2">
        <w:rPr>
          <w:sz w:val="28"/>
          <w:szCs w:val="28"/>
          <w:lang w:val="uk-UA"/>
        </w:rPr>
        <w:t xml:space="preserve">З метою взаємного культурного пізнання, налагодження партнерських та дружніх відносин між Україною та Китайською Народною Республікою, у листопаді – грудні  2018 року делегації представників виконавчого комітету міської ради взяли участь у </w:t>
      </w:r>
      <w:r w:rsidR="00D4778A" w:rsidRPr="00720DC2">
        <w:rPr>
          <w:sz w:val="28"/>
          <w:szCs w:val="28"/>
          <w:lang w:val="uk-UA"/>
        </w:rPr>
        <w:t>"</w:t>
      </w:r>
      <w:r w:rsidRPr="00720DC2">
        <w:rPr>
          <w:sz w:val="28"/>
          <w:szCs w:val="28"/>
          <w:lang w:val="uk-UA"/>
        </w:rPr>
        <w:t>Другій Конференції Міжнародної Співпраці міст-побратимів</w:t>
      </w:r>
      <w:r w:rsidR="00D4778A" w:rsidRPr="00720DC2">
        <w:rPr>
          <w:sz w:val="28"/>
          <w:szCs w:val="28"/>
          <w:lang w:val="uk-UA"/>
        </w:rPr>
        <w:t>"</w:t>
      </w:r>
      <w:r w:rsidRPr="00720DC2">
        <w:rPr>
          <w:sz w:val="28"/>
          <w:szCs w:val="28"/>
          <w:lang w:val="uk-UA"/>
        </w:rPr>
        <w:t xml:space="preserve">  у місті Шаосінь (Чшедзянський адміністративний округ, КНР) з презентацією туристичного та культурного потенціалу Івано-Франківська та </w:t>
      </w:r>
      <w:r w:rsidR="00105EE0">
        <w:rPr>
          <w:sz w:val="28"/>
          <w:szCs w:val="28"/>
          <w:shd w:val="clear" w:color="auto" w:fill="FFFFFF"/>
          <w:lang w:val="uk-UA"/>
        </w:rPr>
        <w:t>в 12-</w:t>
      </w:r>
      <w:r w:rsidRPr="00720DC2">
        <w:rPr>
          <w:sz w:val="28"/>
          <w:szCs w:val="28"/>
          <w:shd w:val="clear" w:color="auto" w:fill="FFFFFF"/>
          <w:lang w:val="uk-UA"/>
        </w:rPr>
        <w:t>й Міжнародній садовій виставці</w:t>
      </w:r>
      <w:r w:rsidRPr="00720DC2">
        <w:rPr>
          <w:sz w:val="28"/>
          <w:szCs w:val="28"/>
          <w:lang w:val="uk-UA"/>
        </w:rPr>
        <w:t xml:space="preserve"> у місті Наньнін (Автономний Округ Гуансі-Чжуань, КНР), де відбулось</w:t>
      </w:r>
      <w:r w:rsidRPr="00720DC2">
        <w:rPr>
          <w:sz w:val="28"/>
          <w:szCs w:val="28"/>
          <w:shd w:val="clear" w:color="auto" w:fill="FFFFFF"/>
          <w:lang w:val="uk-UA"/>
        </w:rPr>
        <w:t xml:space="preserve"> підписання листа-наміру про співпрацю з китайським містом Наньнін</w:t>
      </w:r>
      <w:r w:rsidRPr="00720DC2">
        <w:rPr>
          <w:sz w:val="28"/>
          <w:szCs w:val="28"/>
          <w:lang w:val="uk-UA"/>
        </w:rPr>
        <w:t>.</w:t>
      </w:r>
    </w:p>
    <w:p w:rsidR="004F3652" w:rsidRPr="00720DC2" w:rsidRDefault="004F3652" w:rsidP="004F3652">
      <w:pPr>
        <w:ind w:firstLine="709"/>
        <w:jc w:val="both"/>
        <w:rPr>
          <w:lang w:val="uk-UA"/>
        </w:rPr>
      </w:pPr>
      <w:r w:rsidRPr="00720DC2">
        <w:rPr>
          <w:color w:val="000000"/>
          <w:lang w:val="uk-UA"/>
        </w:rPr>
        <w:t xml:space="preserve">З метою вдосконалення партнерських зв’язків, вчасного планування і належної підготовки міжнародних заходів розроблено </w:t>
      </w:r>
      <w:r w:rsidRPr="00720DC2">
        <w:rPr>
          <w:lang w:val="uk-UA"/>
        </w:rPr>
        <w:t>календарний план співпраці з порідненими та партнерськими містами. Для широкого інформування громадськості план розміщено на офіційному сайті виконкому міської ради.</w:t>
      </w:r>
    </w:p>
    <w:p w:rsidR="00183E22" w:rsidRPr="00720DC2" w:rsidRDefault="00183E22" w:rsidP="00183E22">
      <w:pPr>
        <w:ind w:firstLine="700"/>
        <w:jc w:val="both"/>
        <w:rPr>
          <w:i/>
          <w:lang w:val="uk-UA"/>
        </w:rPr>
      </w:pPr>
      <w:r w:rsidRPr="00720DC2">
        <w:rPr>
          <w:highlight w:val="yellow"/>
          <w:lang w:val="uk-UA"/>
        </w:rPr>
        <w:t xml:space="preserve">       </w:t>
      </w:r>
      <w:r w:rsidRPr="00720DC2">
        <w:rPr>
          <w:highlight w:val="yellow"/>
          <w:lang w:val="uk-UA"/>
        </w:rPr>
        <w:br/>
      </w:r>
      <w:r w:rsidRPr="00720DC2">
        <w:rPr>
          <w:i/>
          <w:lang w:val="uk-UA"/>
        </w:rPr>
        <w:tab/>
        <w:t>3.7 Земельні відносини</w:t>
      </w:r>
    </w:p>
    <w:p w:rsidR="005D7F82" w:rsidRPr="00720DC2" w:rsidRDefault="005D7F82" w:rsidP="005D7F82">
      <w:pPr>
        <w:ind w:firstLine="709"/>
        <w:jc w:val="both"/>
        <w:rPr>
          <w:lang w:val="uk-UA"/>
        </w:rPr>
      </w:pPr>
      <w:r w:rsidRPr="00720DC2">
        <w:rPr>
          <w:lang w:val="uk-UA"/>
        </w:rPr>
        <w:t>В рамках здійснення самоврядного контролю за використанням земель на території міста здійснено обстеження 59 земельних ділянок, ще по 47 землекористувачах направлено повідомлення про проведення таких обстежень, 33 землекористувачам направлено вимоги щодо усунення виявлених порушень.</w:t>
      </w:r>
    </w:p>
    <w:p w:rsidR="005D7F82" w:rsidRPr="00720DC2" w:rsidRDefault="005D7F82" w:rsidP="005D7F82">
      <w:pPr>
        <w:shd w:val="clear" w:color="auto" w:fill="FFFFFF"/>
        <w:ind w:firstLine="709"/>
        <w:jc w:val="both"/>
        <w:rPr>
          <w:lang w:val="uk-UA"/>
        </w:rPr>
      </w:pPr>
      <w:r w:rsidRPr="00720DC2">
        <w:rPr>
          <w:lang w:val="uk-UA"/>
        </w:rPr>
        <w:t>У випадку встановлення факту порушення земельного законодавства матеріали обстеження скеровувалися на розгляд комісії з визначення та відшкодування територіальній громаді м. Івано-Франківська збитків, заподіяних внаслідок використання земельних ділянок комунальної власності з порушенням законодавства.</w:t>
      </w:r>
    </w:p>
    <w:p w:rsidR="005D7F82" w:rsidRPr="00720DC2" w:rsidRDefault="005D7F82" w:rsidP="005D7F82">
      <w:pPr>
        <w:shd w:val="clear" w:color="auto" w:fill="FFFFFF"/>
        <w:ind w:firstLine="709"/>
        <w:jc w:val="both"/>
        <w:rPr>
          <w:lang w:val="uk-UA"/>
        </w:rPr>
      </w:pPr>
      <w:r w:rsidRPr="00720DC2">
        <w:rPr>
          <w:lang w:val="uk-UA"/>
        </w:rPr>
        <w:t>За результатами роботи комісії по 27 земельних ділянках затверджено суму збитків для подальшого відшкодування на загальну суму 1939196,24  грн, по 18 земельних ділянках матеріали скеровано до суду про стягнення збитків, заподіяних внаслідок використання земельних ділянок комунальної власності з порушенням законодавства.</w:t>
      </w:r>
    </w:p>
    <w:p w:rsidR="005D7F82" w:rsidRPr="00720DC2" w:rsidRDefault="005D7F82" w:rsidP="005D7F82">
      <w:pPr>
        <w:shd w:val="clear" w:color="auto" w:fill="FFFFFF"/>
        <w:ind w:firstLine="709"/>
        <w:jc w:val="both"/>
        <w:rPr>
          <w:lang w:val="uk-UA"/>
        </w:rPr>
      </w:pPr>
      <w:r w:rsidRPr="00720DC2">
        <w:rPr>
          <w:lang w:val="uk-UA"/>
        </w:rPr>
        <w:t xml:space="preserve">Проводиться постійно робота </w:t>
      </w:r>
      <w:r w:rsidR="00D616F8" w:rsidRPr="00720DC2">
        <w:rPr>
          <w:lang w:val="uk-UA"/>
        </w:rPr>
        <w:t>з</w:t>
      </w:r>
      <w:r w:rsidRPr="00720DC2">
        <w:rPr>
          <w:lang w:val="uk-UA"/>
        </w:rPr>
        <w:t xml:space="preserve"> підготов</w:t>
      </w:r>
      <w:r w:rsidR="00D616F8" w:rsidRPr="00720DC2">
        <w:rPr>
          <w:lang w:val="uk-UA"/>
        </w:rPr>
        <w:t>ки</w:t>
      </w:r>
      <w:r w:rsidRPr="00720DC2">
        <w:rPr>
          <w:lang w:val="uk-UA"/>
        </w:rPr>
        <w:t xml:space="preserve"> та проведенн</w:t>
      </w:r>
      <w:r w:rsidR="00D616F8" w:rsidRPr="00720DC2">
        <w:rPr>
          <w:lang w:val="uk-UA"/>
        </w:rPr>
        <w:t>я</w:t>
      </w:r>
      <w:r w:rsidRPr="00720DC2">
        <w:rPr>
          <w:lang w:val="uk-UA"/>
        </w:rPr>
        <w:t xml:space="preserve"> земельних торгів. Зокрема, </w:t>
      </w:r>
      <w:r w:rsidR="00D616F8" w:rsidRPr="00720DC2">
        <w:rPr>
          <w:lang w:val="uk-UA"/>
        </w:rPr>
        <w:t>у</w:t>
      </w:r>
      <w:r w:rsidRPr="00720DC2">
        <w:rPr>
          <w:lang w:val="uk-UA"/>
        </w:rPr>
        <w:t xml:space="preserve"> 2018 році проведено 3 публічних конкурси (аукціони) </w:t>
      </w:r>
      <w:r w:rsidRPr="00720DC2">
        <w:rPr>
          <w:lang w:val="uk-UA"/>
        </w:rPr>
        <w:lastRenderedPageBreak/>
        <w:t xml:space="preserve">щодо відчуження земельних ділянок та прав на них (оренда), на яких було пропоновано до реалізації право власності на 3 земельні ділянки та право оренди на 4 земельні ділянки. </w:t>
      </w:r>
    </w:p>
    <w:p w:rsidR="005D7F82" w:rsidRPr="00720DC2" w:rsidRDefault="005D7F82" w:rsidP="005D7F82">
      <w:pPr>
        <w:shd w:val="clear" w:color="auto" w:fill="FFFFFF"/>
        <w:ind w:firstLine="709"/>
        <w:jc w:val="both"/>
        <w:rPr>
          <w:lang w:val="uk-UA"/>
        </w:rPr>
      </w:pPr>
      <w:r w:rsidRPr="00720DC2">
        <w:rPr>
          <w:lang w:val="uk-UA"/>
        </w:rPr>
        <w:t>Завершується підготовка документів ще по 39 земельних ділянках, право на які планується реалізувати через земельні торги.</w:t>
      </w:r>
    </w:p>
    <w:p w:rsidR="00D616F8" w:rsidRPr="00720DC2" w:rsidRDefault="00D616F8" w:rsidP="00D616F8">
      <w:pPr>
        <w:pStyle w:val="23"/>
        <w:tabs>
          <w:tab w:val="left" w:pos="600"/>
        </w:tabs>
        <w:spacing w:after="0" w:line="240" w:lineRule="auto"/>
        <w:jc w:val="both"/>
        <w:rPr>
          <w:lang w:val="uk-UA"/>
        </w:rPr>
      </w:pPr>
    </w:p>
    <w:p w:rsidR="00D616F8" w:rsidRPr="00605041" w:rsidRDefault="00D616F8" w:rsidP="00D616F8">
      <w:pPr>
        <w:pStyle w:val="23"/>
        <w:tabs>
          <w:tab w:val="left" w:pos="600"/>
        </w:tabs>
        <w:spacing w:after="0" w:line="240" w:lineRule="auto"/>
        <w:jc w:val="both"/>
        <w:rPr>
          <w:i/>
          <w:lang w:val="uk-UA"/>
        </w:rPr>
      </w:pPr>
      <w:r w:rsidRPr="00605041">
        <w:rPr>
          <w:i/>
          <w:lang w:val="uk-UA"/>
        </w:rPr>
        <w:t>Інформація про продаж земельних ділянок:</w:t>
      </w:r>
    </w:p>
    <w:tbl>
      <w:tblPr>
        <w:tblpPr w:leftFromText="180" w:rightFromText="180" w:vertAnchor="text" w:horzAnchor="margin" w:tblpXSpec="center" w:tblpY="24"/>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1275"/>
        <w:gridCol w:w="1275"/>
      </w:tblGrid>
      <w:tr w:rsidR="00D616F8" w:rsidRPr="00605041" w:rsidTr="00CA5517">
        <w:tc>
          <w:tcPr>
            <w:tcW w:w="3572" w:type="pct"/>
          </w:tcPr>
          <w:p w:rsidR="00D616F8" w:rsidRPr="00605041" w:rsidRDefault="00D616F8" w:rsidP="00523CDB">
            <w:pPr>
              <w:pStyle w:val="-2"/>
              <w:tabs>
                <w:tab w:val="num" w:pos="360"/>
              </w:tabs>
              <w:rPr>
                <w:rStyle w:val="-3"/>
                <w:rFonts w:ascii="Times New Roman" w:hAnsi="Times New Roman"/>
                <w:b/>
                <w:color w:val="auto"/>
                <w:sz w:val="24"/>
                <w:lang w:val="uk-UA" w:eastAsia="uk-UA"/>
              </w:rPr>
            </w:pPr>
            <w:r w:rsidRPr="00605041">
              <w:rPr>
                <w:rStyle w:val="-3"/>
                <w:rFonts w:ascii="Times New Roman" w:hAnsi="Times New Roman"/>
                <w:b/>
                <w:color w:val="auto"/>
                <w:sz w:val="24"/>
                <w:lang w:val="uk-UA" w:eastAsia="uk-UA"/>
              </w:rPr>
              <w:t>Показники</w:t>
            </w:r>
          </w:p>
        </w:tc>
        <w:tc>
          <w:tcPr>
            <w:tcW w:w="714" w:type="pct"/>
          </w:tcPr>
          <w:p w:rsidR="00D616F8" w:rsidRPr="00605041" w:rsidRDefault="00D616F8" w:rsidP="00D616F8">
            <w:pPr>
              <w:pStyle w:val="-2"/>
              <w:tabs>
                <w:tab w:val="num" w:pos="360"/>
              </w:tabs>
              <w:rPr>
                <w:rStyle w:val="-3"/>
                <w:rFonts w:ascii="Times New Roman" w:hAnsi="Times New Roman"/>
                <w:b/>
                <w:color w:val="auto"/>
                <w:sz w:val="24"/>
                <w:lang w:val="uk-UA" w:eastAsia="uk-UA"/>
              </w:rPr>
            </w:pPr>
            <w:r w:rsidRPr="00605041">
              <w:rPr>
                <w:rStyle w:val="-3"/>
                <w:rFonts w:ascii="Times New Roman" w:hAnsi="Times New Roman"/>
                <w:b/>
                <w:color w:val="auto"/>
                <w:sz w:val="24"/>
                <w:lang w:val="uk-UA" w:eastAsia="uk-UA"/>
              </w:rPr>
              <w:t>2017р.</w:t>
            </w:r>
          </w:p>
        </w:tc>
        <w:tc>
          <w:tcPr>
            <w:tcW w:w="714" w:type="pct"/>
          </w:tcPr>
          <w:p w:rsidR="00D616F8" w:rsidRPr="00605041" w:rsidRDefault="00D616F8" w:rsidP="00523CDB">
            <w:pPr>
              <w:pStyle w:val="-2"/>
              <w:tabs>
                <w:tab w:val="num" w:pos="360"/>
              </w:tabs>
              <w:rPr>
                <w:rStyle w:val="-3"/>
                <w:rFonts w:ascii="Times New Roman" w:hAnsi="Times New Roman"/>
                <w:b/>
                <w:color w:val="auto"/>
                <w:sz w:val="24"/>
                <w:lang w:val="uk-UA" w:eastAsia="uk-UA"/>
              </w:rPr>
            </w:pPr>
            <w:r w:rsidRPr="00605041">
              <w:rPr>
                <w:rStyle w:val="-3"/>
                <w:rFonts w:ascii="Times New Roman" w:hAnsi="Times New Roman"/>
                <w:b/>
                <w:color w:val="auto"/>
                <w:sz w:val="24"/>
                <w:lang w:val="uk-UA" w:eastAsia="uk-UA"/>
              </w:rPr>
              <w:t xml:space="preserve">2018р. </w:t>
            </w:r>
          </w:p>
        </w:tc>
      </w:tr>
      <w:tr w:rsidR="00D616F8" w:rsidRPr="00720DC2" w:rsidTr="00CA5517">
        <w:tc>
          <w:tcPr>
            <w:tcW w:w="3572" w:type="pct"/>
          </w:tcPr>
          <w:p w:rsidR="00D616F8" w:rsidRPr="00720DC2" w:rsidRDefault="00D616F8" w:rsidP="00523CDB">
            <w:pPr>
              <w:pStyle w:val="-"/>
              <w:tabs>
                <w:tab w:val="num" w:pos="360"/>
              </w:tabs>
              <w:jc w:val="both"/>
              <w:rPr>
                <w:rFonts w:ascii="Times New Roman" w:hAnsi="Times New Roman"/>
                <w:color w:val="auto"/>
                <w:sz w:val="24"/>
                <w:lang w:val="uk-UA" w:eastAsia="uk-UA"/>
              </w:rPr>
            </w:pPr>
            <w:r w:rsidRPr="00720DC2">
              <w:rPr>
                <w:rFonts w:ascii="Times New Roman" w:eastAsia="Calibri" w:hAnsi="Times New Roman"/>
                <w:color w:val="auto"/>
                <w:sz w:val="24"/>
                <w:lang w:val="uk-UA" w:eastAsia="en-US"/>
              </w:rPr>
              <w:t>Кількість реалізованих земельних ділянок, од.</w:t>
            </w:r>
          </w:p>
        </w:tc>
        <w:tc>
          <w:tcPr>
            <w:tcW w:w="714" w:type="pct"/>
          </w:tcPr>
          <w:p w:rsidR="00D616F8" w:rsidRPr="00720DC2" w:rsidRDefault="003E1FD6"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40</w:t>
            </w:r>
          </w:p>
        </w:tc>
        <w:tc>
          <w:tcPr>
            <w:tcW w:w="714" w:type="pct"/>
          </w:tcPr>
          <w:p w:rsidR="00D616F8" w:rsidRPr="00720DC2" w:rsidRDefault="003E1FD6"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27</w:t>
            </w:r>
          </w:p>
        </w:tc>
      </w:tr>
      <w:tr w:rsidR="00D616F8" w:rsidRPr="00720DC2" w:rsidTr="00CA5517">
        <w:tc>
          <w:tcPr>
            <w:tcW w:w="3572" w:type="pct"/>
          </w:tcPr>
          <w:p w:rsidR="00D616F8" w:rsidRPr="00720DC2" w:rsidRDefault="00D616F8" w:rsidP="00523CDB">
            <w:pPr>
              <w:tabs>
                <w:tab w:val="left" w:pos="4680"/>
              </w:tabs>
              <w:jc w:val="both"/>
              <w:rPr>
                <w:rFonts w:eastAsia="Calibri"/>
                <w:sz w:val="24"/>
                <w:szCs w:val="24"/>
                <w:lang w:val="uk-UA"/>
              </w:rPr>
            </w:pPr>
            <w:r w:rsidRPr="00720DC2">
              <w:rPr>
                <w:rFonts w:eastAsia="Calibri"/>
                <w:sz w:val="24"/>
                <w:szCs w:val="24"/>
                <w:lang w:val="uk-UA"/>
              </w:rPr>
              <w:t>в т.ч. через аукціони</w:t>
            </w:r>
          </w:p>
        </w:tc>
        <w:tc>
          <w:tcPr>
            <w:tcW w:w="714" w:type="pct"/>
          </w:tcPr>
          <w:p w:rsidR="00D616F8" w:rsidRPr="00720DC2" w:rsidRDefault="003E1FD6"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10</w:t>
            </w:r>
          </w:p>
        </w:tc>
        <w:tc>
          <w:tcPr>
            <w:tcW w:w="714"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3</w:t>
            </w:r>
          </w:p>
        </w:tc>
      </w:tr>
      <w:tr w:rsidR="00D616F8" w:rsidRPr="00720DC2" w:rsidTr="00CA5517">
        <w:tc>
          <w:tcPr>
            <w:tcW w:w="3572" w:type="pct"/>
          </w:tcPr>
          <w:p w:rsidR="00D616F8" w:rsidRPr="00720DC2" w:rsidRDefault="00D616F8" w:rsidP="00523CDB">
            <w:pPr>
              <w:pStyle w:val="-"/>
              <w:tabs>
                <w:tab w:val="num" w:pos="360"/>
              </w:tabs>
              <w:jc w:val="both"/>
              <w:rPr>
                <w:rFonts w:ascii="Times New Roman" w:hAnsi="Times New Roman"/>
                <w:color w:val="auto"/>
                <w:sz w:val="24"/>
                <w:lang w:val="uk-UA" w:eastAsia="uk-UA"/>
              </w:rPr>
            </w:pPr>
            <w:r w:rsidRPr="00720DC2">
              <w:rPr>
                <w:rFonts w:ascii="Times New Roman" w:eastAsia="Calibri" w:hAnsi="Times New Roman"/>
                <w:color w:val="auto"/>
                <w:sz w:val="24"/>
                <w:lang w:val="uk-UA" w:eastAsia="en-US"/>
              </w:rPr>
              <w:t>Загальна площа реалізованих земельних ділянок, га</w:t>
            </w:r>
          </w:p>
        </w:tc>
        <w:tc>
          <w:tcPr>
            <w:tcW w:w="714" w:type="pct"/>
          </w:tcPr>
          <w:p w:rsidR="00D616F8" w:rsidRPr="00720DC2" w:rsidRDefault="003E1FD6"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11,1074</w:t>
            </w:r>
          </w:p>
        </w:tc>
        <w:tc>
          <w:tcPr>
            <w:tcW w:w="714"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11,5</w:t>
            </w:r>
          </w:p>
        </w:tc>
      </w:tr>
      <w:tr w:rsidR="00D616F8" w:rsidRPr="00720DC2" w:rsidTr="00CA5517">
        <w:tc>
          <w:tcPr>
            <w:tcW w:w="3572" w:type="pct"/>
          </w:tcPr>
          <w:p w:rsidR="00D616F8" w:rsidRPr="00720DC2" w:rsidRDefault="00D616F8" w:rsidP="00523CDB">
            <w:pPr>
              <w:pStyle w:val="-"/>
              <w:tabs>
                <w:tab w:val="num" w:pos="360"/>
              </w:tabs>
              <w:jc w:val="both"/>
              <w:rPr>
                <w:rFonts w:ascii="Times New Roman" w:eastAsia="Calibri" w:hAnsi="Times New Roman"/>
                <w:color w:val="auto"/>
                <w:sz w:val="24"/>
                <w:lang w:val="uk-UA" w:eastAsia="en-US"/>
              </w:rPr>
            </w:pPr>
            <w:r w:rsidRPr="00720DC2">
              <w:rPr>
                <w:rFonts w:ascii="Times New Roman" w:eastAsia="Calibri" w:hAnsi="Times New Roman"/>
                <w:color w:val="auto"/>
                <w:sz w:val="24"/>
                <w:lang w:val="uk-UA" w:eastAsia="en-US"/>
              </w:rPr>
              <w:t>в т.ч. через аукціони</w:t>
            </w:r>
          </w:p>
        </w:tc>
        <w:tc>
          <w:tcPr>
            <w:tcW w:w="714" w:type="pct"/>
          </w:tcPr>
          <w:p w:rsidR="00D616F8" w:rsidRPr="00720DC2" w:rsidRDefault="003E1FD6"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1,8483</w:t>
            </w:r>
          </w:p>
        </w:tc>
        <w:tc>
          <w:tcPr>
            <w:tcW w:w="714"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0,20</w:t>
            </w:r>
          </w:p>
        </w:tc>
      </w:tr>
      <w:tr w:rsidR="00D616F8" w:rsidRPr="00720DC2" w:rsidTr="00CA5517">
        <w:tc>
          <w:tcPr>
            <w:tcW w:w="3572" w:type="pct"/>
          </w:tcPr>
          <w:p w:rsidR="00D616F8" w:rsidRPr="00720DC2" w:rsidRDefault="00D616F8" w:rsidP="00523CDB">
            <w:pPr>
              <w:tabs>
                <w:tab w:val="left" w:pos="4680"/>
              </w:tabs>
              <w:jc w:val="both"/>
              <w:rPr>
                <w:rStyle w:val="-3"/>
                <w:b w:val="0"/>
                <w:sz w:val="24"/>
                <w:szCs w:val="24"/>
                <w:lang w:val="uk-UA"/>
              </w:rPr>
            </w:pPr>
            <w:r w:rsidRPr="00720DC2">
              <w:rPr>
                <w:rFonts w:eastAsia="Calibri"/>
                <w:sz w:val="24"/>
                <w:szCs w:val="24"/>
                <w:lang w:val="uk-UA"/>
              </w:rPr>
              <w:t>Надходження від прод</w:t>
            </w:r>
            <w:r w:rsidR="00FF67C8" w:rsidRPr="00720DC2">
              <w:rPr>
                <w:rFonts w:eastAsia="Calibri"/>
                <w:sz w:val="24"/>
                <w:szCs w:val="24"/>
                <w:lang w:val="uk-UA"/>
              </w:rPr>
              <w:t>ажу земельних ділянок, тис. грн</w:t>
            </w:r>
          </w:p>
        </w:tc>
        <w:tc>
          <w:tcPr>
            <w:tcW w:w="714"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17 060,4</w:t>
            </w:r>
          </w:p>
        </w:tc>
        <w:tc>
          <w:tcPr>
            <w:tcW w:w="714"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16 415,9</w:t>
            </w:r>
          </w:p>
        </w:tc>
      </w:tr>
      <w:tr w:rsidR="00D616F8" w:rsidRPr="00720DC2" w:rsidTr="00CA5517">
        <w:tc>
          <w:tcPr>
            <w:tcW w:w="3572" w:type="pct"/>
          </w:tcPr>
          <w:p w:rsidR="00D616F8" w:rsidRPr="00720DC2" w:rsidRDefault="00D616F8" w:rsidP="00523CDB">
            <w:pPr>
              <w:pStyle w:val="-"/>
              <w:tabs>
                <w:tab w:val="num" w:pos="360"/>
              </w:tabs>
              <w:jc w:val="both"/>
              <w:rPr>
                <w:rFonts w:ascii="Times New Roman" w:eastAsia="Calibri" w:hAnsi="Times New Roman"/>
                <w:color w:val="auto"/>
                <w:sz w:val="24"/>
                <w:lang w:val="uk-UA" w:eastAsia="en-US"/>
              </w:rPr>
            </w:pPr>
            <w:r w:rsidRPr="00720DC2">
              <w:rPr>
                <w:rFonts w:ascii="Times New Roman" w:eastAsia="Calibri" w:hAnsi="Times New Roman"/>
                <w:color w:val="auto"/>
                <w:sz w:val="24"/>
                <w:lang w:val="uk-UA" w:eastAsia="en-US"/>
              </w:rPr>
              <w:t>в т.ч. через аукціони</w:t>
            </w:r>
          </w:p>
        </w:tc>
        <w:tc>
          <w:tcPr>
            <w:tcW w:w="714"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4 678,0</w:t>
            </w:r>
          </w:p>
        </w:tc>
        <w:tc>
          <w:tcPr>
            <w:tcW w:w="714"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755,0</w:t>
            </w:r>
          </w:p>
        </w:tc>
      </w:tr>
    </w:tbl>
    <w:p w:rsidR="00D616F8" w:rsidRPr="00720DC2" w:rsidRDefault="00D616F8" w:rsidP="00D616F8">
      <w:pPr>
        <w:pStyle w:val="23"/>
        <w:tabs>
          <w:tab w:val="left" w:pos="600"/>
        </w:tabs>
        <w:spacing w:after="0" w:line="240" w:lineRule="auto"/>
        <w:ind w:left="0"/>
        <w:jc w:val="both"/>
        <w:rPr>
          <w:highlight w:val="yellow"/>
          <w:lang w:val="uk-UA"/>
        </w:rPr>
      </w:pPr>
    </w:p>
    <w:p w:rsidR="00D616F8" w:rsidRPr="00605041" w:rsidRDefault="00D616F8" w:rsidP="00D616F8">
      <w:pPr>
        <w:pStyle w:val="23"/>
        <w:tabs>
          <w:tab w:val="left" w:pos="600"/>
        </w:tabs>
        <w:spacing w:after="0" w:line="240" w:lineRule="auto"/>
        <w:jc w:val="both"/>
        <w:rPr>
          <w:i/>
          <w:lang w:val="uk-UA"/>
        </w:rPr>
      </w:pPr>
      <w:r w:rsidRPr="00605041">
        <w:rPr>
          <w:i/>
          <w:lang w:val="uk-UA"/>
        </w:rPr>
        <w:t>Інформація про земельні ділянки, які перебувають в оренді:</w:t>
      </w:r>
    </w:p>
    <w:tbl>
      <w:tblPr>
        <w:tblpPr w:leftFromText="180" w:rightFromText="180" w:vertAnchor="text" w:horzAnchor="margin" w:tblpXSpec="center" w:tblpY="2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8"/>
        <w:gridCol w:w="1276"/>
        <w:gridCol w:w="1276"/>
      </w:tblGrid>
      <w:tr w:rsidR="00D616F8" w:rsidRPr="00605041" w:rsidTr="00D616F8">
        <w:tc>
          <w:tcPr>
            <w:tcW w:w="3588" w:type="pct"/>
          </w:tcPr>
          <w:p w:rsidR="00D616F8" w:rsidRPr="00605041" w:rsidRDefault="00D616F8" w:rsidP="00523CDB">
            <w:pPr>
              <w:pStyle w:val="-2"/>
              <w:tabs>
                <w:tab w:val="num" w:pos="360"/>
              </w:tabs>
              <w:rPr>
                <w:rStyle w:val="-3"/>
                <w:rFonts w:ascii="Times New Roman" w:hAnsi="Times New Roman"/>
                <w:b/>
                <w:color w:val="auto"/>
                <w:sz w:val="24"/>
                <w:lang w:val="uk-UA" w:eastAsia="uk-UA"/>
              </w:rPr>
            </w:pPr>
            <w:r w:rsidRPr="00605041">
              <w:rPr>
                <w:rStyle w:val="-3"/>
                <w:rFonts w:ascii="Times New Roman" w:hAnsi="Times New Roman"/>
                <w:b/>
                <w:color w:val="auto"/>
                <w:sz w:val="24"/>
                <w:lang w:val="uk-UA" w:eastAsia="uk-UA"/>
              </w:rPr>
              <w:t>Показники</w:t>
            </w:r>
          </w:p>
        </w:tc>
        <w:tc>
          <w:tcPr>
            <w:tcW w:w="706" w:type="pct"/>
          </w:tcPr>
          <w:p w:rsidR="00D616F8" w:rsidRPr="00605041" w:rsidRDefault="00D616F8" w:rsidP="00523CDB">
            <w:pPr>
              <w:pStyle w:val="-2"/>
              <w:tabs>
                <w:tab w:val="num" w:pos="360"/>
              </w:tabs>
              <w:rPr>
                <w:rStyle w:val="-3"/>
                <w:rFonts w:ascii="Times New Roman" w:hAnsi="Times New Roman"/>
                <w:b/>
                <w:color w:val="auto"/>
                <w:sz w:val="24"/>
                <w:lang w:val="uk-UA" w:eastAsia="uk-UA"/>
              </w:rPr>
            </w:pPr>
            <w:r w:rsidRPr="00605041">
              <w:rPr>
                <w:rStyle w:val="-3"/>
                <w:rFonts w:ascii="Times New Roman" w:hAnsi="Times New Roman"/>
                <w:b/>
                <w:color w:val="auto"/>
                <w:sz w:val="24"/>
                <w:lang w:val="uk-UA" w:eastAsia="uk-UA"/>
              </w:rPr>
              <w:t>2017р.</w:t>
            </w:r>
          </w:p>
        </w:tc>
        <w:tc>
          <w:tcPr>
            <w:tcW w:w="706" w:type="pct"/>
          </w:tcPr>
          <w:p w:rsidR="00D616F8" w:rsidRPr="00605041" w:rsidRDefault="00D616F8" w:rsidP="00523CDB">
            <w:pPr>
              <w:pStyle w:val="-2"/>
              <w:tabs>
                <w:tab w:val="num" w:pos="360"/>
              </w:tabs>
              <w:rPr>
                <w:rStyle w:val="-3"/>
                <w:rFonts w:ascii="Times New Roman" w:hAnsi="Times New Roman"/>
                <w:b/>
                <w:color w:val="auto"/>
                <w:sz w:val="24"/>
                <w:lang w:val="uk-UA" w:eastAsia="uk-UA"/>
              </w:rPr>
            </w:pPr>
            <w:r w:rsidRPr="00605041">
              <w:rPr>
                <w:rStyle w:val="-3"/>
                <w:rFonts w:ascii="Times New Roman" w:hAnsi="Times New Roman"/>
                <w:b/>
                <w:color w:val="auto"/>
                <w:sz w:val="24"/>
                <w:lang w:val="uk-UA" w:eastAsia="uk-UA"/>
              </w:rPr>
              <w:t xml:space="preserve">2018р. </w:t>
            </w:r>
          </w:p>
        </w:tc>
      </w:tr>
      <w:tr w:rsidR="00D616F8" w:rsidRPr="00720DC2" w:rsidTr="00D616F8">
        <w:tc>
          <w:tcPr>
            <w:tcW w:w="3588" w:type="pct"/>
          </w:tcPr>
          <w:p w:rsidR="00D616F8" w:rsidRPr="00720DC2" w:rsidRDefault="00D616F8" w:rsidP="00523CDB">
            <w:pPr>
              <w:pStyle w:val="-"/>
              <w:tabs>
                <w:tab w:val="num" w:pos="360"/>
              </w:tabs>
              <w:jc w:val="both"/>
              <w:rPr>
                <w:rFonts w:ascii="Times New Roman" w:hAnsi="Times New Roman"/>
                <w:color w:val="auto"/>
                <w:sz w:val="24"/>
                <w:lang w:val="uk-UA" w:eastAsia="uk-UA"/>
              </w:rPr>
            </w:pPr>
            <w:r w:rsidRPr="00720DC2">
              <w:rPr>
                <w:rFonts w:ascii="Times New Roman" w:hAnsi="Times New Roman"/>
                <w:color w:val="auto"/>
                <w:sz w:val="24"/>
                <w:lang w:val="uk-UA" w:eastAsia="uk-UA"/>
              </w:rPr>
              <w:t> Загальна площа земельних ділянок, що перебувають в оренді, га</w:t>
            </w:r>
          </w:p>
        </w:tc>
        <w:tc>
          <w:tcPr>
            <w:tcW w:w="706"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192,46</w:t>
            </w:r>
          </w:p>
        </w:tc>
        <w:tc>
          <w:tcPr>
            <w:tcW w:w="706"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226,955</w:t>
            </w:r>
          </w:p>
        </w:tc>
      </w:tr>
      <w:tr w:rsidR="00D616F8" w:rsidRPr="00720DC2" w:rsidTr="00D616F8">
        <w:tc>
          <w:tcPr>
            <w:tcW w:w="3588" w:type="pct"/>
          </w:tcPr>
          <w:p w:rsidR="00D616F8" w:rsidRPr="00720DC2" w:rsidRDefault="00D616F8" w:rsidP="00523CDB">
            <w:pPr>
              <w:pStyle w:val="-"/>
              <w:tabs>
                <w:tab w:val="num" w:pos="360"/>
              </w:tabs>
              <w:jc w:val="both"/>
              <w:rPr>
                <w:rFonts w:ascii="Times New Roman" w:hAnsi="Times New Roman"/>
                <w:color w:val="auto"/>
                <w:sz w:val="24"/>
                <w:lang w:val="uk-UA" w:eastAsia="uk-UA"/>
              </w:rPr>
            </w:pPr>
            <w:r w:rsidRPr="00720DC2">
              <w:rPr>
                <w:rFonts w:ascii="Times New Roman" w:hAnsi="Times New Roman"/>
                <w:color w:val="auto"/>
                <w:sz w:val="24"/>
                <w:lang w:val="uk-UA" w:eastAsia="uk-UA"/>
              </w:rPr>
              <w:t>Кількість укладених договорів оренди станом на кінець року, од.</w:t>
            </w:r>
          </w:p>
        </w:tc>
        <w:tc>
          <w:tcPr>
            <w:tcW w:w="706"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825</w:t>
            </w:r>
          </w:p>
        </w:tc>
        <w:tc>
          <w:tcPr>
            <w:tcW w:w="706"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822</w:t>
            </w:r>
          </w:p>
        </w:tc>
      </w:tr>
      <w:tr w:rsidR="00D616F8" w:rsidRPr="00720DC2" w:rsidTr="00D616F8">
        <w:tc>
          <w:tcPr>
            <w:tcW w:w="3588" w:type="pct"/>
          </w:tcPr>
          <w:p w:rsidR="00D616F8" w:rsidRPr="00720DC2" w:rsidRDefault="00D616F8" w:rsidP="00523CDB">
            <w:pPr>
              <w:tabs>
                <w:tab w:val="left" w:pos="4680"/>
              </w:tabs>
              <w:jc w:val="both"/>
              <w:rPr>
                <w:rStyle w:val="-3"/>
                <w:b w:val="0"/>
                <w:sz w:val="24"/>
                <w:szCs w:val="24"/>
                <w:lang w:val="uk-UA"/>
              </w:rPr>
            </w:pPr>
            <w:r w:rsidRPr="00720DC2">
              <w:rPr>
                <w:rFonts w:eastAsia="Calibri"/>
                <w:color w:val="000000"/>
                <w:sz w:val="24"/>
                <w:szCs w:val="24"/>
                <w:lang w:val="uk-UA"/>
              </w:rPr>
              <w:t>Надходження від оре</w:t>
            </w:r>
            <w:r w:rsidR="00FF67C8" w:rsidRPr="00720DC2">
              <w:rPr>
                <w:rFonts w:eastAsia="Calibri"/>
                <w:color w:val="000000"/>
                <w:sz w:val="24"/>
                <w:szCs w:val="24"/>
                <w:lang w:val="uk-UA"/>
              </w:rPr>
              <w:t>нди земельних ділянок, тис. грн</w:t>
            </w:r>
          </w:p>
        </w:tc>
        <w:tc>
          <w:tcPr>
            <w:tcW w:w="706"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52 040,7</w:t>
            </w:r>
          </w:p>
        </w:tc>
        <w:tc>
          <w:tcPr>
            <w:tcW w:w="706" w:type="pct"/>
          </w:tcPr>
          <w:p w:rsidR="00D616F8" w:rsidRPr="00720DC2" w:rsidRDefault="00FF67C8" w:rsidP="00523CDB">
            <w:pPr>
              <w:pStyle w:val="-1"/>
              <w:tabs>
                <w:tab w:val="num" w:pos="360"/>
              </w:tabs>
              <w:jc w:val="center"/>
              <w:rPr>
                <w:rFonts w:ascii="Times New Roman" w:hAnsi="Times New Roman"/>
                <w:color w:val="auto"/>
                <w:sz w:val="24"/>
                <w:lang w:val="uk-UA" w:eastAsia="uk-UA"/>
              </w:rPr>
            </w:pPr>
            <w:r w:rsidRPr="00720DC2">
              <w:rPr>
                <w:rFonts w:ascii="Times New Roman" w:hAnsi="Times New Roman"/>
                <w:color w:val="auto"/>
                <w:sz w:val="24"/>
                <w:lang w:val="uk-UA" w:eastAsia="uk-UA"/>
              </w:rPr>
              <w:t>55 665,4</w:t>
            </w:r>
          </w:p>
        </w:tc>
      </w:tr>
    </w:tbl>
    <w:p w:rsidR="005D7F82" w:rsidRPr="00720DC2" w:rsidRDefault="005D7F82" w:rsidP="005D7F82">
      <w:pPr>
        <w:shd w:val="clear" w:color="auto" w:fill="FFFFFF"/>
        <w:ind w:firstLine="709"/>
        <w:jc w:val="both"/>
        <w:rPr>
          <w:lang w:val="uk-UA"/>
        </w:rPr>
      </w:pPr>
      <w:r w:rsidRPr="00720DC2">
        <w:rPr>
          <w:lang w:val="uk-UA"/>
        </w:rPr>
        <w:t xml:space="preserve">Важливим напрямком діяльності є забезпечення земельними ділянками учасників АТО та членів їх сімей. </w:t>
      </w:r>
    </w:p>
    <w:p w:rsidR="005D7F82" w:rsidRPr="00720DC2" w:rsidRDefault="005D7F82" w:rsidP="005D7F82">
      <w:pPr>
        <w:shd w:val="clear" w:color="auto" w:fill="FFFFFF"/>
        <w:ind w:firstLine="709"/>
        <w:jc w:val="both"/>
        <w:rPr>
          <w:lang w:val="uk-UA"/>
        </w:rPr>
      </w:pPr>
      <w:r w:rsidRPr="00720DC2">
        <w:rPr>
          <w:lang w:val="uk-UA"/>
        </w:rPr>
        <w:t>Зокрема, протягом 10 місяців 2018 року:</w:t>
      </w:r>
    </w:p>
    <w:p w:rsidR="005D7F82" w:rsidRPr="00720DC2" w:rsidRDefault="005D7F82" w:rsidP="00FD24B1">
      <w:pPr>
        <w:widowControl w:val="0"/>
        <w:numPr>
          <w:ilvl w:val="0"/>
          <w:numId w:val="15"/>
        </w:numPr>
        <w:tabs>
          <w:tab w:val="left" w:pos="0"/>
          <w:tab w:val="left" w:pos="567"/>
        </w:tabs>
        <w:autoSpaceDE w:val="0"/>
        <w:autoSpaceDN w:val="0"/>
        <w:adjustRightInd w:val="0"/>
        <w:ind w:left="0" w:firstLine="426"/>
        <w:jc w:val="both"/>
        <w:rPr>
          <w:lang w:val="uk-UA"/>
        </w:rPr>
      </w:pPr>
      <w:r w:rsidRPr="00720DC2">
        <w:rPr>
          <w:lang w:val="uk-UA"/>
        </w:rPr>
        <w:t>передано у власність земельні ділянки для будівництва індивідуальних гаражів, з них 62 учасникам АТО та 10 членам сімей загиблих (померлих) учасників АТО;</w:t>
      </w:r>
    </w:p>
    <w:p w:rsidR="005D7F82" w:rsidRPr="00720DC2" w:rsidRDefault="005D7F82" w:rsidP="009C4F49">
      <w:pPr>
        <w:widowControl w:val="0"/>
        <w:numPr>
          <w:ilvl w:val="0"/>
          <w:numId w:val="15"/>
        </w:numPr>
        <w:tabs>
          <w:tab w:val="left" w:pos="0"/>
          <w:tab w:val="left" w:pos="567"/>
        </w:tabs>
        <w:autoSpaceDE w:val="0"/>
        <w:autoSpaceDN w:val="0"/>
        <w:adjustRightInd w:val="0"/>
        <w:ind w:left="0" w:firstLine="284"/>
        <w:jc w:val="both"/>
        <w:rPr>
          <w:lang w:val="uk-UA"/>
        </w:rPr>
      </w:pPr>
      <w:r w:rsidRPr="00720DC2">
        <w:rPr>
          <w:lang w:val="uk-UA"/>
        </w:rPr>
        <w:t xml:space="preserve"> передано у власність земельні ділянки 22 учасникам АТО для індивідуального садівництва в м</w:t>
      </w:r>
      <w:r w:rsidR="002B5B97">
        <w:rPr>
          <w:lang w:val="uk-UA"/>
        </w:rPr>
        <w:t>-</w:t>
      </w:r>
      <w:r w:rsidRPr="00720DC2">
        <w:rPr>
          <w:lang w:val="uk-UA"/>
        </w:rPr>
        <w:t>н</w:t>
      </w:r>
      <w:r w:rsidR="002B5B97">
        <w:rPr>
          <w:lang w:val="uk-UA"/>
        </w:rPr>
        <w:t>і</w:t>
      </w:r>
      <w:r w:rsidRPr="00720DC2">
        <w:rPr>
          <w:lang w:val="uk-UA"/>
        </w:rPr>
        <w:t xml:space="preserve"> </w:t>
      </w:r>
      <w:r w:rsidR="00D4778A" w:rsidRPr="00720DC2">
        <w:rPr>
          <w:lang w:val="uk-UA"/>
        </w:rPr>
        <w:t>"</w:t>
      </w:r>
      <w:r w:rsidRPr="00720DC2">
        <w:rPr>
          <w:lang w:val="uk-UA"/>
        </w:rPr>
        <w:t>Опришівці</w:t>
      </w:r>
      <w:r w:rsidR="00D4778A" w:rsidRPr="00720DC2">
        <w:rPr>
          <w:lang w:val="uk-UA"/>
        </w:rPr>
        <w:t>"</w:t>
      </w:r>
      <w:r w:rsidRPr="00720DC2">
        <w:rPr>
          <w:lang w:val="uk-UA"/>
        </w:rPr>
        <w:t>;</w:t>
      </w:r>
    </w:p>
    <w:p w:rsidR="005D7F82" w:rsidRPr="00720DC2" w:rsidRDefault="005D7F82" w:rsidP="00FD24B1">
      <w:pPr>
        <w:widowControl w:val="0"/>
        <w:numPr>
          <w:ilvl w:val="0"/>
          <w:numId w:val="15"/>
        </w:numPr>
        <w:tabs>
          <w:tab w:val="left" w:pos="0"/>
          <w:tab w:val="left" w:pos="567"/>
        </w:tabs>
        <w:autoSpaceDE w:val="0"/>
        <w:autoSpaceDN w:val="0"/>
        <w:adjustRightInd w:val="0"/>
        <w:ind w:left="0" w:firstLine="426"/>
        <w:jc w:val="both"/>
        <w:rPr>
          <w:lang w:val="uk-UA"/>
        </w:rPr>
      </w:pPr>
      <w:r w:rsidRPr="00720DC2">
        <w:rPr>
          <w:lang w:val="uk-UA"/>
        </w:rPr>
        <w:t>передано у власність 7 сім’ям загиблих (померлих) учасників АТО земельні ділянки для індивідуального житлового будівництва  в районі Дем’янового Лазу;</w:t>
      </w:r>
    </w:p>
    <w:p w:rsidR="005D7F82" w:rsidRPr="00720DC2" w:rsidRDefault="005D7F82" w:rsidP="00FD24B1">
      <w:pPr>
        <w:widowControl w:val="0"/>
        <w:numPr>
          <w:ilvl w:val="0"/>
          <w:numId w:val="15"/>
        </w:numPr>
        <w:tabs>
          <w:tab w:val="left" w:pos="0"/>
          <w:tab w:val="left" w:pos="567"/>
        </w:tabs>
        <w:autoSpaceDE w:val="0"/>
        <w:autoSpaceDN w:val="0"/>
        <w:adjustRightInd w:val="0"/>
        <w:ind w:left="0" w:firstLine="426"/>
        <w:jc w:val="both"/>
        <w:rPr>
          <w:lang w:val="uk-UA"/>
        </w:rPr>
      </w:pPr>
      <w:r w:rsidRPr="00720DC2">
        <w:rPr>
          <w:lang w:val="uk-UA"/>
        </w:rPr>
        <w:t>передано у власність 3</w:t>
      </w:r>
      <w:r w:rsidR="002B5B97">
        <w:rPr>
          <w:lang w:val="uk-UA"/>
        </w:rPr>
        <w:t xml:space="preserve"> учасникам АТО земельні ділянки</w:t>
      </w:r>
      <w:r w:rsidRPr="00720DC2">
        <w:rPr>
          <w:lang w:val="uk-UA"/>
        </w:rPr>
        <w:t xml:space="preserve"> для ведення особистого селянського господарства в </w:t>
      </w:r>
      <w:r w:rsidR="002B5B97">
        <w:rPr>
          <w:lang w:val="uk-UA"/>
        </w:rPr>
        <w:t>м-ні</w:t>
      </w:r>
      <w:r w:rsidRPr="00720DC2">
        <w:rPr>
          <w:lang w:val="uk-UA"/>
        </w:rPr>
        <w:t xml:space="preserve"> </w:t>
      </w:r>
      <w:r w:rsidR="00D4778A" w:rsidRPr="00720DC2">
        <w:rPr>
          <w:lang w:val="uk-UA"/>
        </w:rPr>
        <w:t>"</w:t>
      </w:r>
      <w:r w:rsidRPr="00720DC2">
        <w:rPr>
          <w:lang w:val="uk-UA"/>
        </w:rPr>
        <w:t>Опришівці</w:t>
      </w:r>
      <w:r w:rsidR="00D4778A" w:rsidRPr="00720DC2">
        <w:rPr>
          <w:lang w:val="uk-UA"/>
        </w:rPr>
        <w:t>"</w:t>
      </w:r>
      <w:r w:rsidRPr="00720DC2">
        <w:rPr>
          <w:lang w:val="uk-UA"/>
        </w:rPr>
        <w:t>.</w:t>
      </w:r>
    </w:p>
    <w:p w:rsidR="005D7F82" w:rsidRPr="00720DC2" w:rsidRDefault="005D7F82" w:rsidP="005D7F82">
      <w:pPr>
        <w:ind w:firstLine="709"/>
        <w:jc w:val="both"/>
        <w:rPr>
          <w:lang w:val="uk-UA"/>
        </w:rPr>
      </w:pPr>
      <w:r w:rsidRPr="00F70FE5">
        <w:rPr>
          <w:lang w:val="uk-UA"/>
        </w:rPr>
        <w:t>Крім цього, у 2018 році на підставі відповідних рішень міської ради</w:t>
      </w:r>
      <w:r w:rsidRPr="00720DC2">
        <w:rPr>
          <w:lang w:val="uk-UA"/>
        </w:rPr>
        <w:t xml:space="preserve"> передано в постійне користування громадській організації </w:t>
      </w:r>
      <w:r w:rsidR="00D4778A" w:rsidRPr="00720DC2">
        <w:rPr>
          <w:lang w:val="uk-UA"/>
        </w:rPr>
        <w:t>"</w:t>
      </w:r>
      <w:r w:rsidRPr="00720DC2">
        <w:rPr>
          <w:lang w:val="uk-UA"/>
        </w:rPr>
        <w:t>Івано-Франківська обласна спілка учасників та інвалідів АТО</w:t>
      </w:r>
      <w:r w:rsidR="00D4778A" w:rsidRPr="00720DC2">
        <w:rPr>
          <w:lang w:val="uk-UA"/>
        </w:rPr>
        <w:t>"</w:t>
      </w:r>
      <w:r w:rsidRPr="00720DC2">
        <w:rPr>
          <w:lang w:val="uk-UA"/>
        </w:rPr>
        <w:t xml:space="preserve"> 2 земельні ділянки загальною площею 0,31 га для будівництва багатоквартирних житлових будинків учасникам та інвалідам АТО. Надано дозвіл громадській організації </w:t>
      </w:r>
      <w:r w:rsidR="00D4778A" w:rsidRPr="00720DC2">
        <w:rPr>
          <w:lang w:val="uk-UA"/>
        </w:rPr>
        <w:t>"</w:t>
      </w:r>
      <w:r w:rsidRPr="00720DC2">
        <w:rPr>
          <w:lang w:val="uk-UA"/>
        </w:rPr>
        <w:t>Івано-Франківська обласна спілка учасників та інвалідів АТО</w:t>
      </w:r>
      <w:r w:rsidR="00D4778A" w:rsidRPr="00720DC2">
        <w:rPr>
          <w:lang w:val="uk-UA"/>
        </w:rPr>
        <w:t>"</w:t>
      </w:r>
      <w:r w:rsidRPr="00720DC2">
        <w:rPr>
          <w:lang w:val="uk-UA"/>
        </w:rPr>
        <w:t xml:space="preserve"> на складання проектів землеустрою щодо відведення земельних ділянок для будівництва багатоквартирних житлових будинків учасникам, інвалідам АТО по 4 ділянках загальною орієнтовною площею 2.3 га.</w:t>
      </w:r>
    </w:p>
    <w:p w:rsidR="00183E22" w:rsidRPr="00720DC2" w:rsidRDefault="00183E22" w:rsidP="00183E22">
      <w:pPr>
        <w:ind w:firstLine="720"/>
        <w:jc w:val="both"/>
        <w:textAlignment w:val="baseline"/>
        <w:rPr>
          <w:rFonts w:eastAsia="Times New Roman" w:cs="Times New Roman"/>
          <w:iCs/>
          <w:lang w:val="uk-UA" w:eastAsia="uk-UA"/>
        </w:rPr>
      </w:pPr>
      <w:r w:rsidRPr="00720DC2">
        <w:rPr>
          <w:rFonts w:eastAsia="Times New Roman" w:cs="Times New Roman"/>
          <w:iCs/>
          <w:lang w:val="uk-UA" w:eastAsia="uk-UA"/>
        </w:rPr>
        <w:t xml:space="preserve">Розроблено й затверджено технічне завдання на виконання робіт </w:t>
      </w:r>
      <w:r w:rsidR="00D616F8" w:rsidRPr="00720DC2">
        <w:rPr>
          <w:rFonts w:eastAsia="Times New Roman" w:cs="Times New Roman"/>
          <w:iCs/>
          <w:lang w:val="uk-UA" w:eastAsia="uk-UA"/>
        </w:rPr>
        <w:t>з доопрацювання та модернізації, підвищення надійності та супроводження ЕКАСТО, адміністрування</w:t>
      </w:r>
      <w:r w:rsidRPr="00720DC2">
        <w:rPr>
          <w:rFonts w:eastAsia="Times New Roman" w:cs="Times New Roman"/>
          <w:iCs/>
          <w:lang w:val="uk-UA" w:eastAsia="uk-UA"/>
        </w:rPr>
        <w:t xml:space="preserve"> та оплат</w:t>
      </w:r>
      <w:r w:rsidR="00D616F8" w:rsidRPr="00720DC2">
        <w:rPr>
          <w:rFonts w:eastAsia="Times New Roman" w:cs="Times New Roman"/>
          <w:iCs/>
          <w:lang w:val="uk-UA" w:eastAsia="uk-UA"/>
        </w:rPr>
        <w:t>и</w:t>
      </w:r>
      <w:r w:rsidRPr="00720DC2">
        <w:rPr>
          <w:rFonts w:eastAsia="Times New Roman" w:cs="Times New Roman"/>
          <w:iCs/>
          <w:lang w:val="uk-UA" w:eastAsia="uk-UA"/>
        </w:rPr>
        <w:t xml:space="preserve"> за хостинг провайдеру веб-сторінки. </w:t>
      </w:r>
      <w:r w:rsidRPr="00720DC2">
        <w:rPr>
          <w:rFonts w:eastAsia="Times New Roman" w:cs="Times New Roman"/>
          <w:iCs/>
          <w:lang w:val="uk-UA" w:eastAsia="uk-UA"/>
        </w:rPr>
        <w:lastRenderedPageBreak/>
        <w:t>Виконано перший та другий етапи робіт на основі технічного завдання, введено в дію оновлене програмне забезпечення.</w:t>
      </w:r>
    </w:p>
    <w:p w:rsidR="00183E22" w:rsidRPr="00720DC2" w:rsidRDefault="00183E22" w:rsidP="00183E22">
      <w:pPr>
        <w:ind w:firstLine="720"/>
        <w:jc w:val="both"/>
        <w:textAlignment w:val="baseline"/>
        <w:rPr>
          <w:rFonts w:eastAsia="Times New Roman" w:cs="Times New Roman"/>
          <w:lang w:val="uk-UA" w:eastAsia="uk-UA"/>
        </w:rPr>
      </w:pPr>
      <w:r w:rsidRPr="00720DC2">
        <w:rPr>
          <w:rFonts w:eastAsia="Times New Roman" w:cs="Times New Roman"/>
          <w:lang w:val="uk-UA" w:eastAsia="uk-UA"/>
        </w:rPr>
        <w:t>Здійснюються організаційні роботи щодо визначення вартості розробки документації із землеустрою по встановленню меж територій історико-культурного призначення, визначення виконавців таких робіт на конкурсній основі з наступним укладенням договору на складання відповідного проекту землеустрою.</w:t>
      </w:r>
    </w:p>
    <w:p w:rsidR="00B74475" w:rsidRPr="00720DC2" w:rsidRDefault="00B74475" w:rsidP="00183E22">
      <w:pPr>
        <w:ind w:firstLine="720"/>
        <w:jc w:val="both"/>
        <w:textAlignment w:val="baseline"/>
        <w:rPr>
          <w:rFonts w:eastAsia="Times New Roman" w:cs="Times New Roman"/>
          <w:lang w:val="uk-UA" w:eastAsia="uk-UA"/>
        </w:rPr>
      </w:pPr>
    </w:p>
    <w:p w:rsidR="00183E22" w:rsidRPr="00720DC2" w:rsidRDefault="00183E22" w:rsidP="00E86D11">
      <w:pPr>
        <w:ind w:firstLine="709"/>
        <w:jc w:val="both"/>
        <w:rPr>
          <w:i/>
          <w:lang w:val="uk-UA"/>
        </w:rPr>
      </w:pPr>
      <w:r w:rsidRPr="00720DC2">
        <w:rPr>
          <w:i/>
          <w:lang w:val="uk-UA"/>
        </w:rPr>
        <w:t>3.8. Управління об</w:t>
      </w:r>
      <w:r w:rsidRPr="00720DC2">
        <w:rPr>
          <w:rFonts w:cs="Times New Roman"/>
          <w:i/>
          <w:lang w:val="uk-UA"/>
        </w:rPr>
        <w:t>′</w:t>
      </w:r>
      <w:r w:rsidRPr="00720DC2">
        <w:rPr>
          <w:i/>
          <w:lang w:val="uk-UA"/>
        </w:rPr>
        <w:t>єктами комунальної власності</w:t>
      </w:r>
    </w:p>
    <w:p w:rsidR="00E86D11" w:rsidRPr="00720DC2" w:rsidRDefault="00183E22" w:rsidP="00E86D11">
      <w:pPr>
        <w:pStyle w:val="23"/>
        <w:shd w:val="clear" w:color="auto" w:fill="FFFFFF"/>
        <w:spacing w:after="0" w:line="240" w:lineRule="auto"/>
        <w:ind w:left="0" w:firstLine="709"/>
        <w:jc w:val="both"/>
        <w:rPr>
          <w:lang w:val="uk-UA"/>
        </w:rPr>
      </w:pPr>
      <w:r w:rsidRPr="00720DC2">
        <w:rPr>
          <w:rFonts w:cs="Times New Roman"/>
          <w:color w:val="000000"/>
          <w:shd w:val="clear" w:color="auto" w:fill="FFFFFF"/>
          <w:lang w:val="uk-UA"/>
        </w:rPr>
        <w:t>З метою ефективного використання нежитлових приміщень комунальної власності територіальної громади міста та інформування потенційних орендарів та покупців комунального майна міста розроблено і розміщено на офіційному сайті м. Івано-Франківська інтерактивну карту вільних нежитлових приміщень, які потенційно можуть бути надані в оренду або продані з аукціону, що дає можливість вільного доступу до ознайомлення з цією інформацією зацікавленим юридичним чи фізичним особам. Зазначена інформація постійно оновлюється в режимі on-line.</w:t>
      </w:r>
      <w:r w:rsidR="00E86D11" w:rsidRPr="00720DC2">
        <w:rPr>
          <w:lang w:val="uk-UA"/>
        </w:rPr>
        <w:t xml:space="preserve"> </w:t>
      </w:r>
    </w:p>
    <w:p w:rsidR="00E86D11" w:rsidRPr="00720DC2" w:rsidRDefault="00FE47AE" w:rsidP="00E86D11">
      <w:pPr>
        <w:pStyle w:val="23"/>
        <w:shd w:val="clear" w:color="auto" w:fill="FFFFFF"/>
        <w:spacing w:after="0" w:line="240" w:lineRule="auto"/>
        <w:ind w:left="0" w:firstLine="709"/>
        <w:jc w:val="both"/>
        <w:rPr>
          <w:lang w:val="uk-UA"/>
        </w:rPr>
      </w:pPr>
      <w:r w:rsidRPr="00720DC2">
        <w:rPr>
          <w:lang w:val="uk-UA"/>
        </w:rPr>
        <w:t>У 2018 році</w:t>
      </w:r>
      <w:r w:rsidR="00E86D11" w:rsidRPr="00720DC2">
        <w:rPr>
          <w:lang w:val="uk-UA"/>
        </w:rPr>
        <w:t xml:space="preserve"> укладено 1</w:t>
      </w:r>
      <w:r w:rsidRPr="00720DC2">
        <w:rPr>
          <w:lang w:val="uk-UA"/>
        </w:rPr>
        <w:t>4</w:t>
      </w:r>
      <w:r w:rsidR="00E86D11" w:rsidRPr="00720DC2">
        <w:rPr>
          <w:lang w:val="uk-UA"/>
        </w:rPr>
        <w:t xml:space="preserve"> договорів купівлі-продажу нежитлових приміщень площею 4103,1 кв.м та 3 договори купівлі-продажу пакетів акцій, що належали територіальній громаді міста Івано-Франківська у статутних капіталах акціонерних товариств, а також 30 договорів оренди нежитлових приміщень загальною площею 2894,74 кв.м. </w:t>
      </w:r>
    </w:p>
    <w:p w:rsidR="00E86D11" w:rsidRPr="00720DC2" w:rsidRDefault="00E86D11" w:rsidP="00E86D11">
      <w:pPr>
        <w:ind w:firstLine="709"/>
        <w:jc w:val="both"/>
        <w:rPr>
          <w:lang w:val="uk-UA"/>
        </w:rPr>
      </w:pPr>
      <w:r w:rsidRPr="00720DC2">
        <w:rPr>
          <w:lang w:val="uk-UA"/>
        </w:rPr>
        <w:t xml:space="preserve">Крім того, за результатами проведення відповідної роботи по придбанню Івано-Франківською міською радою акцій АТ </w:t>
      </w:r>
      <w:r w:rsidR="00D4778A" w:rsidRPr="00720DC2">
        <w:rPr>
          <w:lang w:val="uk-UA"/>
        </w:rPr>
        <w:t>"</w:t>
      </w:r>
      <w:r w:rsidRPr="00720DC2">
        <w:rPr>
          <w:lang w:val="uk-UA"/>
        </w:rPr>
        <w:t>Івано-Франківський локомотиворемонтний завод</w:t>
      </w:r>
      <w:r w:rsidR="00D4778A" w:rsidRPr="00720DC2">
        <w:rPr>
          <w:lang w:val="uk-UA"/>
        </w:rPr>
        <w:t>"</w:t>
      </w:r>
      <w:r w:rsidRPr="00720DC2">
        <w:rPr>
          <w:lang w:val="uk-UA"/>
        </w:rPr>
        <w:t xml:space="preserve">, 04.05.2018  року міська рада набула право власності на домінуючий контрольний пакет акцій товариства в розмірі 99,5% статутного капіталу, а 27.08.2018 року стала власником 100% акцій АТ </w:t>
      </w:r>
      <w:r w:rsidR="00D4778A" w:rsidRPr="00720DC2">
        <w:rPr>
          <w:lang w:val="uk-UA"/>
        </w:rPr>
        <w:t>"</w:t>
      </w:r>
      <w:r w:rsidRPr="00720DC2">
        <w:rPr>
          <w:lang w:val="uk-UA"/>
        </w:rPr>
        <w:t>Івано-Франківський локомотиворемонтний завод</w:t>
      </w:r>
      <w:r w:rsidR="00D4778A" w:rsidRPr="00720DC2">
        <w:rPr>
          <w:lang w:val="uk-UA"/>
        </w:rPr>
        <w:t>"</w:t>
      </w:r>
      <w:r w:rsidRPr="00720DC2">
        <w:rPr>
          <w:lang w:val="uk-UA"/>
        </w:rPr>
        <w:t>, придбавши решту акцій у всіх інших акціонерів – власників простих акцій товариства, в кількості 391680 штук, що дасть змогу більш оперативно приймати рішення, пов’язані з управлінням діяльністю цього товариства.</w:t>
      </w:r>
    </w:p>
    <w:p w:rsidR="00D616F8" w:rsidRPr="00720DC2" w:rsidRDefault="00D616F8" w:rsidP="00D616F8">
      <w:pPr>
        <w:rPr>
          <w:i/>
          <w:lang w:val="uk-UA"/>
        </w:rPr>
      </w:pPr>
    </w:p>
    <w:p w:rsidR="00D616F8" w:rsidRPr="00720DC2" w:rsidRDefault="00D616F8" w:rsidP="00D616F8">
      <w:pPr>
        <w:rPr>
          <w:i/>
          <w:lang w:val="uk-UA"/>
        </w:rPr>
      </w:pPr>
      <w:r w:rsidRPr="00720DC2">
        <w:rPr>
          <w:i/>
          <w:lang w:val="uk-UA"/>
        </w:rPr>
        <w:t>Інформація про приватизацію об'єктів комунальної власності міста</w:t>
      </w:r>
      <w:r w:rsidR="001947EA" w:rsidRPr="00720DC2">
        <w:rPr>
          <w:i/>
          <w:lang w:val="uk-UA"/>
        </w:rPr>
        <w:t>:</w:t>
      </w:r>
    </w:p>
    <w:tbl>
      <w:tblPr>
        <w:tblpPr w:leftFromText="180" w:rightFromText="180" w:vertAnchor="text" w:horzAnchor="margin" w:tblpXSpec="center" w:tblpY="2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1276"/>
        <w:gridCol w:w="1276"/>
      </w:tblGrid>
      <w:tr w:rsidR="001947EA" w:rsidRPr="00605041" w:rsidTr="00E379F3">
        <w:tc>
          <w:tcPr>
            <w:tcW w:w="3588" w:type="pct"/>
          </w:tcPr>
          <w:p w:rsidR="001947EA" w:rsidRPr="00605041" w:rsidRDefault="001947EA" w:rsidP="00523CDB">
            <w:pPr>
              <w:pStyle w:val="-2"/>
              <w:tabs>
                <w:tab w:val="num" w:pos="360"/>
              </w:tabs>
              <w:rPr>
                <w:rStyle w:val="-3"/>
                <w:rFonts w:ascii="Times New Roman" w:hAnsi="Times New Roman"/>
                <w:b/>
                <w:color w:val="auto"/>
                <w:sz w:val="24"/>
                <w:lang w:val="uk-UA"/>
              </w:rPr>
            </w:pPr>
            <w:r w:rsidRPr="00605041">
              <w:rPr>
                <w:rStyle w:val="-3"/>
                <w:rFonts w:ascii="Times New Roman" w:hAnsi="Times New Roman"/>
                <w:b/>
                <w:color w:val="auto"/>
                <w:sz w:val="24"/>
                <w:lang w:val="uk-UA"/>
              </w:rPr>
              <w:t>Показники</w:t>
            </w:r>
          </w:p>
        </w:tc>
        <w:tc>
          <w:tcPr>
            <w:tcW w:w="706" w:type="pct"/>
          </w:tcPr>
          <w:p w:rsidR="001947EA" w:rsidRPr="00605041" w:rsidRDefault="001947EA" w:rsidP="00523CDB">
            <w:pPr>
              <w:pStyle w:val="-2"/>
              <w:tabs>
                <w:tab w:val="num" w:pos="360"/>
              </w:tabs>
              <w:rPr>
                <w:rStyle w:val="-3"/>
                <w:rFonts w:ascii="Times New Roman" w:hAnsi="Times New Roman"/>
                <w:b/>
                <w:color w:val="auto"/>
                <w:sz w:val="24"/>
                <w:lang w:val="uk-UA"/>
              </w:rPr>
            </w:pPr>
            <w:r w:rsidRPr="00605041">
              <w:rPr>
                <w:rStyle w:val="-3"/>
                <w:rFonts w:ascii="Times New Roman" w:hAnsi="Times New Roman"/>
                <w:b/>
                <w:color w:val="auto"/>
                <w:sz w:val="24"/>
                <w:lang w:val="uk-UA"/>
              </w:rPr>
              <w:t>2017р.</w:t>
            </w:r>
          </w:p>
        </w:tc>
        <w:tc>
          <w:tcPr>
            <w:tcW w:w="706" w:type="pct"/>
          </w:tcPr>
          <w:p w:rsidR="001947EA" w:rsidRPr="00605041" w:rsidRDefault="001947EA" w:rsidP="00523CDB">
            <w:pPr>
              <w:pStyle w:val="-2"/>
              <w:tabs>
                <w:tab w:val="num" w:pos="360"/>
              </w:tabs>
              <w:rPr>
                <w:rStyle w:val="-3"/>
                <w:rFonts w:ascii="Times New Roman" w:hAnsi="Times New Roman"/>
                <w:b/>
                <w:color w:val="auto"/>
                <w:sz w:val="24"/>
                <w:lang w:val="uk-UA"/>
              </w:rPr>
            </w:pPr>
            <w:r w:rsidRPr="00605041">
              <w:rPr>
                <w:rStyle w:val="-3"/>
                <w:rFonts w:ascii="Times New Roman" w:hAnsi="Times New Roman"/>
                <w:b/>
                <w:color w:val="auto"/>
                <w:sz w:val="24"/>
                <w:lang w:val="uk-UA"/>
              </w:rPr>
              <w:t xml:space="preserve">2018р. </w:t>
            </w:r>
          </w:p>
        </w:tc>
      </w:tr>
      <w:tr w:rsidR="001947EA" w:rsidRPr="00720DC2" w:rsidTr="00E379F3">
        <w:tc>
          <w:tcPr>
            <w:tcW w:w="3588" w:type="pct"/>
          </w:tcPr>
          <w:p w:rsidR="001947EA" w:rsidRPr="00720DC2" w:rsidRDefault="001947EA" w:rsidP="00523CDB">
            <w:pPr>
              <w:pStyle w:val="-"/>
              <w:tabs>
                <w:tab w:val="num" w:pos="360"/>
              </w:tabs>
              <w:rPr>
                <w:rFonts w:ascii="Times New Roman" w:hAnsi="Times New Roman"/>
                <w:color w:val="auto"/>
                <w:sz w:val="24"/>
                <w:lang w:val="uk-UA"/>
              </w:rPr>
            </w:pPr>
            <w:r w:rsidRPr="00720DC2">
              <w:rPr>
                <w:rStyle w:val="-3"/>
                <w:rFonts w:ascii="Times New Roman" w:hAnsi="Times New Roman"/>
                <w:b w:val="0"/>
                <w:color w:val="auto"/>
                <w:sz w:val="24"/>
                <w:lang w:val="uk-UA"/>
              </w:rPr>
              <w:t>Кількість об’єктів, одиниць</w:t>
            </w:r>
          </w:p>
        </w:tc>
        <w:tc>
          <w:tcPr>
            <w:tcW w:w="706" w:type="pct"/>
          </w:tcPr>
          <w:p w:rsidR="001947EA" w:rsidRPr="00720DC2" w:rsidRDefault="00E379F3" w:rsidP="00523CDB">
            <w:pPr>
              <w:pStyle w:val="-1"/>
              <w:tabs>
                <w:tab w:val="num" w:pos="360"/>
              </w:tabs>
              <w:jc w:val="center"/>
              <w:rPr>
                <w:rFonts w:ascii="Times New Roman" w:hAnsi="Times New Roman"/>
                <w:color w:val="auto"/>
                <w:sz w:val="24"/>
                <w:lang w:val="uk-UA"/>
              </w:rPr>
            </w:pPr>
            <w:r w:rsidRPr="00720DC2">
              <w:rPr>
                <w:rFonts w:ascii="Times New Roman" w:hAnsi="Times New Roman"/>
                <w:color w:val="auto"/>
                <w:sz w:val="24"/>
                <w:lang w:val="uk-UA"/>
              </w:rPr>
              <w:t>18</w:t>
            </w:r>
          </w:p>
        </w:tc>
        <w:tc>
          <w:tcPr>
            <w:tcW w:w="706" w:type="pct"/>
          </w:tcPr>
          <w:p w:rsidR="001947EA" w:rsidRPr="00720DC2" w:rsidRDefault="00E379F3" w:rsidP="00523CDB">
            <w:pPr>
              <w:pStyle w:val="-1"/>
              <w:tabs>
                <w:tab w:val="num" w:pos="360"/>
              </w:tabs>
              <w:jc w:val="center"/>
              <w:rPr>
                <w:rFonts w:ascii="Times New Roman" w:hAnsi="Times New Roman"/>
                <w:color w:val="auto"/>
                <w:sz w:val="24"/>
                <w:lang w:val="uk-UA"/>
              </w:rPr>
            </w:pPr>
            <w:r w:rsidRPr="00720DC2">
              <w:rPr>
                <w:rFonts w:ascii="Times New Roman" w:hAnsi="Times New Roman"/>
                <w:color w:val="auto"/>
                <w:sz w:val="24"/>
                <w:lang w:val="uk-UA"/>
              </w:rPr>
              <w:t>14</w:t>
            </w:r>
          </w:p>
        </w:tc>
      </w:tr>
      <w:tr w:rsidR="001947EA" w:rsidRPr="00720DC2" w:rsidTr="00E379F3">
        <w:tc>
          <w:tcPr>
            <w:tcW w:w="3588" w:type="pct"/>
          </w:tcPr>
          <w:p w:rsidR="001947EA" w:rsidRPr="00720DC2" w:rsidRDefault="001947EA" w:rsidP="00523CDB">
            <w:pPr>
              <w:pStyle w:val="-"/>
              <w:tabs>
                <w:tab w:val="num" w:pos="360"/>
              </w:tabs>
              <w:jc w:val="both"/>
              <w:rPr>
                <w:rFonts w:ascii="Times New Roman" w:hAnsi="Times New Roman"/>
                <w:color w:val="auto"/>
                <w:sz w:val="24"/>
                <w:lang w:val="uk-UA"/>
              </w:rPr>
            </w:pPr>
            <w:r w:rsidRPr="00720DC2">
              <w:rPr>
                <w:rStyle w:val="-3"/>
                <w:rFonts w:ascii="Times New Roman" w:hAnsi="Times New Roman"/>
                <w:b w:val="0"/>
                <w:color w:val="auto"/>
                <w:sz w:val="24"/>
                <w:lang w:val="uk-UA"/>
              </w:rPr>
              <w:t>Загальна площа об’єктів комунальної власності, які були приватизовані чи планується приватизувати, кв. м</w:t>
            </w:r>
          </w:p>
        </w:tc>
        <w:tc>
          <w:tcPr>
            <w:tcW w:w="706" w:type="pct"/>
          </w:tcPr>
          <w:p w:rsidR="001947EA" w:rsidRPr="00720DC2" w:rsidRDefault="00E379F3" w:rsidP="00523CDB">
            <w:pPr>
              <w:pStyle w:val="-1"/>
              <w:tabs>
                <w:tab w:val="num" w:pos="360"/>
              </w:tabs>
              <w:jc w:val="center"/>
              <w:rPr>
                <w:rFonts w:ascii="Times New Roman" w:hAnsi="Times New Roman"/>
                <w:color w:val="auto"/>
                <w:sz w:val="24"/>
                <w:lang w:val="uk-UA"/>
              </w:rPr>
            </w:pPr>
            <w:r w:rsidRPr="00720DC2">
              <w:rPr>
                <w:rFonts w:ascii="Times New Roman" w:hAnsi="Times New Roman"/>
                <w:color w:val="auto"/>
                <w:sz w:val="24"/>
                <w:lang w:val="uk-UA"/>
              </w:rPr>
              <w:t>1 196,06</w:t>
            </w:r>
          </w:p>
        </w:tc>
        <w:tc>
          <w:tcPr>
            <w:tcW w:w="706" w:type="pct"/>
          </w:tcPr>
          <w:p w:rsidR="001947EA" w:rsidRPr="00720DC2" w:rsidRDefault="00E379F3" w:rsidP="00523CDB">
            <w:pPr>
              <w:pStyle w:val="-1"/>
              <w:tabs>
                <w:tab w:val="num" w:pos="360"/>
              </w:tabs>
              <w:jc w:val="center"/>
              <w:rPr>
                <w:rFonts w:ascii="Times New Roman" w:hAnsi="Times New Roman"/>
                <w:color w:val="auto"/>
                <w:sz w:val="24"/>
                <w:lang w:val="uk-UA"/>
              </w:rPr>
            </w:pPr>
            <w:r w:rsidRPr="00720DC2">
              <w:rPr>
                <w:rFonts w:ascii="Times New Roman" w:hAnsi="Times New Roman"/>
                <w:color w:val="auto"/>
                <w:sz w:val="24"/>
                <w:lang w:val="uk-UA"/>
              </w:rPr>
              <w:t>4 103,1</w:t>
            </w:r>
          </w:p>
        </w:tc>
      </w:tr>
      <w:tr w:rsidR="001947EA" w:rsidRPr="00720DC2" w:rsidTr="00E379F3">
        <w:tc>
          <w:tcPr>
            <w:tcW w:w="3588" w:type="pct"/>
          </w:tcPr>
          <w:p w:rsidR="001947EA" w:rsidRPr="00720DC2" w:rsidRDefault="001947EA" w:rsidP="00523CDB">
            <w:pPr>
              <w:pStyle w:val="-"/>
              <w:tabs>
                <w:tab w:val="num" w:pos="360"/>
              </w:tabs>
              <w:rPr>
                <w:rStyle w:val="-3"/>
                <w:rFonts w:ascii="Times New Roman" w:hAnsi="Times New Roman"/>
                <w:b w:val="0"/>
                <w:color w:val="auto"/>
                <w:sz w:val="24"/>
                <w:lang w:val="uk-UA"/>
              </w:rPr>
            </w:pPr>
            <w:r w:rsidRPr="00720DC2">
              <w:rPr>
                <w:rStyle w:val="-3"/>
                <w:rFonts w:ascii="Times New Roman" w:hAnsi="Times New Roman"/>
                <w:b w:val="0"/>
                <w:color w:val="auto"/>
                <w:sz w:val="24"/>
                <w:lang w:val="uk-UA"/>
              </w:rPr>
              <w:t>Варті</w:t>
            </w:r>
            <w:r w:rsidR="00E379F3" w:rsidRPr="00720DC2">
              <w:rPr>
                <w:rStyle w:val="-3"/>
                <w:rFonts w:ascii="Times New Roman" w:hAnsi="Times New Roman"/>
                <w:b w:val="0"/>
                <w:color w:val="auto"/>
                <w:sz w:val="24"/>
                <w:lang w:val="uk-UA"/>
              </w:rPr>
              <w:t>сть продажу (без ПДВ), тис. грн</w:t>
            </w:r>
          </w:p>
        </w:tc>
        <w:tc>
          <w:tcPr>
            <w:tcW w:w="706" w:type="pct"/>
          </w:tcPr>
          <w:p w:rsidR="001947EA" w:rsidRPr="00720DC2" w:rsidRDefault="00E379F3" w:rsidP="00523CDB">
            <w:pPr>
              <w:pStyle w:val="-1"/>
              <w:tabs>
                <w:tab w:val="num" w:pos="360"/>
              </w:tabs>
              <w:jc w:val="center"/>
              <w:rPr>
                <w:rFonts w:ascii="Times New Roman" w:hAnsi="Times New Roman"/>
                <w:color w:val="auto"/>
                <w:sz w:val="24"/>
                <w:lang w:val="uk-UA"/>
              </w:rPr>
            </w:pPr>
            <w:r w:rsidRPr="00720DC2">
              <w:rPr>
                <w:rFonts w:ascii="Times New Roman" w:hAnsi="Times New Roman"/>
                <w:color w:val="auto"/>
                <w:sz w:val="24"/>
                <w:lang w:val="uk-UA"/>
              </w:rPr>
              <w:t>5 890,0</w:t>
            </w:r>
          </w:p>
        </w:tc>
        <w:tc>
          <w:tcPr>
            <w:tcW w:w="706" w:type="pct"/>
          </w:tcPr>
          <w:p w:rsidR="001947EA" w:rsidRPr="00720DC2" w:rsidRDefault="00E379F3" w:rsidP="00523CDB">
            <w:pPr>
              <w:pStyle w:val="-1"/>
              <w:tabs>
                <w:tab w:val="num" w:pos="360"/>
              </w:tabs>
              <w:jc w:val="center"/>
              <w:rPr>
                <w:rFonts w:ascii="Times New Roman" w:hAnsi="Times New Roman"/>
                <w:color w:val="auto"/>
                <w:sz w:val="24"/>
                <w:lang w:val="uk-UA"/>
              </w:rPr>
            </w:pPr>
            <w:r w:rsidRPr="00720DC2">
              <w:rPr>
                <w:rFonts w:ascii="Times New Roman" w:hAnsi="Times New Roman"/>
                <w:color w:val="auto"/>
                <w:sz w:val="24"/>
                <w:lang w:val="uk-UA"/>
              </w:rPr>
              <w:t>25 083,96</w:t>
            </w:r>
          </w:p>
        </w:tc>
      </w:tr>
    </w:tbl>
    <w:p w:rsidR="00D616F8" w:rsidRPr="00720DC2" w:rsidRDefault="00D616F8" w:rsidP="00D616F8">
      <w:pPr>
        <w:pStyle w:val="13"/>
        <w:shd w:val="clear" w:color="auto" w:fill="auto"/>
        <w:tabs>
          <w:tab w:val="left" w:pos="567"/>
          <w:tab w:val="left" w:pos="709"/>
        </w:tabs>
        <w:spacing w:before="0" w:line="240" w:lineRule="auto"/>
        <w:ind w:left="40" w:firstLine="0"/>
        <w:rPr>
          <w:sz w:val="28"/>
          <w:szCs w:val="28"/>
          <w:shd w:val="clear" w:color="auto" w:fill="FFFFFF"/>
        </w:rPr>
      </w:pPr>
    </w:p>
    <w:p w:rsidR="00183E22" w:rsidRPr="00720DC2" w:rsidRDefault="00183E22" w:rsidP="00183E22">
      <w:pPr>
        <w:pStyle w:val="a7"/>
        <w:numPr>
          <w:ilvl w:val="0"/>
          <w:numId w:val="2"/>
        </w:numPr>
        <w:spacing w:after="0"/>
        <w:ind w:hanging="356"/>
        <w:jc w:val="both"/>
        <w:outlineLvl w:val="0"/>
        <w:rPr>
          <w:b/>
          <w:i/>
          <w:sz w:val="28"/>
          <w:szCs w:val="28"/>
          <w:lang w:val="uk-UA"/>
        </w:rPr>
      </w:pPr>
      <w:r w:rsidRPr="00720DC2">
        <w:rPr>
          <w:b/>
          <w:i/>
          <w:sz w:val="28"/>
          <w:szCs w:val="28"/>
          <w:lang w:val="uk-UA"/>
        </w:rPr>
        <w:t>Розвиток гуманітарної та соціальної сфери</w:t>
      </w:r>
    </w:p>
    <w:p w:rsidR="00183E22" w:rsidRPr="00720DC2" w:rsidRDefault="00183E22" w:rsidP="00183E22">
      <w:pPr>
        <w:pStyle w:val="a7"/>
        <w:spacing w:after="0"/>
        <w:ind w:left="1065"/>
        <w:jc w:val="both"/>
        <w:outlineLvl w:val="0"/>
        <w:rPr>
          <w:sz w:val="28"/>
          <w:szCs w:val="28"/>
          <w:lang w:val="uk-UA"/>
        </w:rPr>
      </w:pPr>
    </w:p>
    <w:p w:rsidR="00183E22" w:rsidRPr="00720DC2" w:rsidRDefault="00183E22" w:rsidP="00183E22">
      <w:pPr>
        <w:pStyle w:val="a7"/>
        <w:numPr>
          <w:ilvl w:val="1"/>
          <w:numId w:val="13"/>
        </w:numPr>
        <w:spacing w:after="0"/>
        <w:jc w:val="both"/>
        <w:outlineLvl w:val="0"/>
        <w:rPr>
          <w:i/>
          <w:sz w:val="28"/>
          <w:szCs w:val="28"/>
          <w:lang w:val="uk-UA"/>
        </w:rPr>
      </w:pPr>
      <w:r w:rsidRPr="00720DC2">
        <w:rPr>
          <w:i/>
          <w:sz w:val="28"/>
          <w:szCs w:val="28"/>
          <w:lang w:val="uk-UA"/>
        </w:rPr>
        <w:t>Охорона здоров′я</w:t>
      </w:r>
    </w:p>
    <w:p w:rsidR="00183E22" w:rsidRPr="00720DC2" w:rsidRDefault="00183E22" w:rsidP="00183E22">
      <w:pPr>
        <w:pStyle w:val="a7"/>
        <w:spacing w:after="0"/>
        <w:ind w:left="0"/>
        <w:jc w:val="both"/>
        <w:outlineLvl w:val="0"/>
        <w:rPr>
          <w:sz w:val="28"/>
          <w:szCs w:val="28"/>
          <w:lang w:val="uk-UA"/>
        </w:rPr>
      </w:pPr>
      <w:r w:rsidRPr="00720DC2">
        <w:rPr>
          <w:sz w:val="28"/>
          <w:szCs w:val="28"/>
          <w:lang w:val="uk-UA"/>
        </w:rPr>
        <w:tab/>
        <w:t xml:space="preserve">В закладах охорони здоров’я продовжується впровадження інноваційних методів діагностики та лікування: в Центральній міській клінічній лікарні проводяться оперативні втручання на відкритому серці, аорто-коронарне шунтування, операції по заміні аортального, мітрального </w:t>
      </w:r>
      <w:r w:rsidRPr="00720DC2">
        <w:rPr>
          <w:sz w:val="28"/>
          <w:szCs w:val="28"/>
          <w:lang w:val="uk-UA"/>
        </w:rPr>
        <w:lastRenderedPageBreak/>
        <w:t>клапанів серця, тромболізис при гострих розладах мозкового кровообігу, ендопротезування колінних суглобів, емболізація судин матки тощо.</w:t>
      </w:r>
    </w:p>
    <w:p w:rsidR="00183E22" w:rsidRPr="00720DC2" w:rsidRDefault="00183E22" w:rsidP="00183E22">
      <w:pPr>
        <w:pStyle w:val="af1"/>
        <w:ind w:left="0"/>
        <w:jc w:val="both"/>
        <w:rPr>
          <w:sz w:val="28"/>
          <w:szCs w:val="28"/>
          <w:lang w:val="uk-UA"/>
        </w:rPr>
      </w:pPr>
      <w:r w:rsidRPr="00720DC2">
        <w:rPr>
          <w:sz w:val="28"/>
          <w:szCs w:val="28"/>
          <w:lang w:val="uk-UA"/>
        </w:rPr>
        <w:tab/>
        <w:t xml:space="preserve">Рішенням Івано-Франківської міської ради від 02.05.2018 року №123-19 </w:t>
      </w:r>
      <w:r w:rsidR="00D4778A" w:rsidRPr="00720DC2">
        <w:rPr>
          <w:sz w:val="28"/>
          <w:szCs w:val="28"/>
          <w:lang w:val="uk-UA"/>
        </w:rPr>
        <w:t>"</w:t>
      </w:r>
      <w:r w:rsidRPr="00720DC2">
        <w:rPr>
          <w:sz w:val="28"/>
          <w:szCs w:val="28"/>
          <w:lang w:val="uk-UA"/>
        </w:rPr>
        <w:t>Про формування мережі первинної медичної допомоги в місті Івано-Франківську</w:t>
      </w:r>
      <w:r w:rsidR="00D4778A" w:rsidRPr="00720DC2">
        <w:rPr>
          <w:sz w:val="28"/>
          <w:szCs w:val="28"/>
          <w:lang w:val="uk-UA"/>
        </w:rPr>
        <w:t>"</w:t>
      </w:r>
      <w:r w:rsidRPr="00720DC2">
        <w:rPr>
          <w:sz w:val="28"/>
          <w:szCs w:val="28"/>
          <w:lang w:val="uk-UA"/>
        </w:rPr>
        <w:t xml:space="preserve"> реорганізовано шляхом злиття міську поліклініку №1, комунальний заклад </w:t>
      </w:r>
      <w:r w:rsidR="00D4778A" w:rsidRPr="00720DC2">
        <w:rPr>
          <w:sz w:val="28"/>
          <w:szCs w:val="28"/>
          <w:lang w:val="uk-UA"/>
        </w:rPr>
        <w:t>"</w:t>
      </w:r>
      <w:r w:rsidRPr="00720DC2">
        <w:rPr>
          <w:sz w:val="28"/>
          <w:szCs w:val="28"/>
          <w:lang w:val="uk-UA"/>
        </w:rPr>
        <w:t>Міська поліклініка №2</w:t>
      </w:r>
      <w:r w:rsidR="00D4778A" w:rsidRPr="00720DC2">
        <w:rPr>
          <w:sz w:val="28"/>
          <w:szCs w:val="28"/>
          <w:lang w:val="uk-UA"/>
        </w:rPr>
        <w:t>"</w:t>
      </w:r>
      <w:r w:rsidRPr="00720DC2">
        <w:rPr>
          <w:sz w:val="28"/>
          <w:szCs w:val="28"/>
          <w:lang w:val="uk-UA"/>
        </w:rPr>
        <w:t>, міську п</w:t>
      </w:r>
      <w:r w:rsidR="00F70FE5">
        <w:rPr>
          <w:sz w:val="28"/>
          <w:szCs w:val="28"/>
          <w:lang w:val="uk-UA"/>
        </w:rPr>
        <w:t>оліклініку №3, Івано-Франківську</w:t>
      </w:r>
      <w:r w:rsidRPr="00720DC2">
        <w:rPr>
          <w:sz w:val="28"/>
          <w:szCs w:val="28"/>
          <w:lang w:val="uk-UA"/>
        </w:rPr>
        <w:t xml:space="preserve"> міську поліклініку №4, комунальний заклад </w:t>
      </w:r>
      <w:r w:rsidR="00D4778A" w:rsidRPr="00720DC2">
        <w:rPr>
          <w:sz w:val="28"/>
          <w:szCs w:val="28"/>
          <w:lang w:val="uk-UA"/>
        </w:rPr>
        <w:t>"</w:t>
      </w:r>
      <w:r w:rsidRPr="00720DC2">
        <w:rPr>
          <w:sz w:val="28"/>
          <w:szCs w:val="28"/>
          <w:lang w:val="uk-UA"/>
        </w:rPr>
        <w:t>Міська поліклініка №5</w:t>
      </w:r>
      <w:r w:rsidR="00D4778A" w:rsidRPr="00720DC2">
        <w:rPr>
          <w:sz w:val="28"/>
          <w:szCs w:val="28"/>
          <w:lang w:val="uk-UA"/>
        </w:rPr>
        <w:t>"</w:t>
      </w:r>
      <w:r w:rsidRPr="00720DC2">
        <w:rPr>
          <w:sz w:val="28"/>
          <w:szCs w:val="28"/>
          <w:lang w:val="uk-UA"/>
        </w:rPr>
        <w:t xml:space="preserve"> у комунальне некомерційне підприємство </w:t>
      </w:r>
      <w:r w:rsidR="00D4778A" w:rsidRPr="00720DC2">
        <w:rPr>
          <w:sz w:val="28"/>
          <w:szCs w:val="28"/>
          <w:lang w:val="uk-UA"/>
        </w:rPr>
        <w:t>"</w:t>
      </w:r>
      <w:r w:rsidRPr="00720DC2">
        <w:rPr>
          <w:sz w:val="28"/>
          <w:szCs w:val="28"/>
          <w:lang w:val="uk-UA"/>
        </w:rPr>
        <w:t>Центр первинної медичної і консультативно-діагностичної допомоги Івано-Франківської міської ради</w:t>
      </w:r>
      <w:r w:rsidR="00D4778A" w:rsidRPr="00720DC2">
        <w:rPr>
          <w:sz w:val="28"/>
          <w:szCs w:val="28"/>
          <w:lang w:val="uk-UA"/>
        </w:rPr>
        <w:t>"</w:t>
      </w:r>
      <w:r w:rsidRPr="00720DC2">
        <w:rPr>
          <w:sz w:val="28"/>
          <w:szCs w:val="28"/>
          <w:lang w:val="uk-UA"/>
        </w:rPr>
        <w:t xml:space="preserve">, також реорганізовано шляхом перетворення комунальний заклад </w:t>
      </w:r>
      <w:r w:rsidR="00D4778A" w:rsidRPr="00720DC2">
        <w:rPr>
          <w:sz w:val="28"/>
          <w:szCs w:val="28"/>
          <w:lang w:val="uk-UA"/>
        </w:rPr>
        <w:t>"</w:t>
      </w:r>
      <w:r w:rsidRPr="00720DC2">
        <w:rPr>
          <w:sz w:val="28"/>
          <w:szCs w:val="28"/>
          <w:lang w:val="uk-UA"/>
        </w:rPr>
        <w:t>Міська дитяча клінічна лікарня</w:t>
      </w:r>
      <w:r w:rsidR="00D4778A" w:rsidRPr="00720DC2">
        <w:rPr>
          <w:sz w:val="28"/>
          <w:szCs w:val="28"/>
          <w:lang w:val="uk-UA"/>
        </w:rPr>
        <w:t>"</w:t>
      </w:r>
      <w:r w:rsidRPr="00720DC2">
        <w:rPr>
          <w:sz w:val="28"/>
          <w:szCs w:val="28"/>
          <w:lang w:val="uk-UA"/>
        </w:rPr>
        <w:t xml:space="preserve"> у комунальне некомерційне підприємство </w:t>
      </w:r>
      <w:r w:rsidR="00D4778A" w:rsidRPr="00720DC2">
        <w:rPr>
          <w:sz w:val="28"/>
          <w:szCs w:val="28"/>
          <w:lang w:val="uk-UA"/>
        </w:rPr>
        <w:t>"</w:t>
      </w:r>
      <w:r w:rsidRPr="00720DC2">
        <w:rPr>
          <w:sz w:val="28"/>
          <w:szCs w:val="28"/>
          <w:lang w:val="uk-UA"/>
        </w:rPr>
        <w:t>Міська дитяча клінічна лікарня Івано-Франківської міської ради</w:t>
      </w:r>
      <w:r w:rsidR="00D4778A" w:rsidRPr="00720DC2">
        <w:rPr>
          <w:sz w:val="28"/>
          <w:szCs w:val="28"/>
          <w:lang w:val="uk-UA"/>
        </w:rPr>
        <w:t>"</w:t>
      </w:r>
      <w:r w:rsidRPr="00720DC2">
        <w:rPr>
          <w:sz w:val="28"/>
          <w:szCs w:val="28"/>
          <w:lang w:val="uk-UA"/>
        </w:rPr>
        <w:t>.</w:t>
      </w:r>
    </w:p>
    <w:p w:rsidR="00837D3B" w:rsidRPr="00720DC2" w:rsidRDefault="00837D3B" w:rsidP="00837D3B">
      <w:pPr>
        <w:pStyle w:val="ac"/>
        <w:ind w:firstLine="567"/>
        <w:jc w:val="both"/>
        <w:rPr>
          <w:rFonts w:ascii="Times New Roman" w:hAnsi="Times New Roman"/>
          <w:lang w:val="uk-UA"/>
        </w:rPr>
      </w:pPr>
      <w:r w:rsidRPr="00720DC2">
        <w:rPr>
          <w:rFonts w:ascii="Times New Roman" w:hAnsi="Times New Roman"/>
          <w:lang w:val="uk-UA"/>
        </w:rPr>
        <w:t xml:space="preserve">В структурних підрозділах КНП ЦПМКДД забезпечено надання первинної медичної та спеціалізованої амбулаторно-поліклінічної допомоги в повному обсязі. Зареєстровано 1,3 млн відвідувань що складає 4,6  відвідування на 1 жителя (за аналогічний період 2017 року – 1,5 млн відвідувань, показник 5,3 відвідувань на 1 жителя). </w:t>
      </w:r>
    </w:p>
    <w:p w:rsidR="00837D3B" w:rsidRPr="00720DC2" w:rsidRDefault="00837D3B" w:rsidP="00837D3B">
      <w:pPr>
        <w:pStyle w:val="ac"/>
        <w:ind w:firstLine="567"/>
        <w:jc w:val="both"/>
        <w:rPr>
          <w:rFonts w:ascii="Times New Roman" w:hAnsi="Times New Roman"/>
          <w:lang w:val="uk-UA"/>
        </w:rPr>
      </w:pPr>
      <w:r w:rsidRPr="00720DC2">
        <w:rPr>
          <w:rFonts w:ascii="Times New Roman" w:hAnsi="Times New Roman"/>
          <w:lang w:val="uk-UA"/>
        </w:rPr>
        <w:t xml:space="preserve">До хворих, які не можуть пересуватись або тривалий час не відвідували </w:t>
      </w:r>
      <w:r w:rsidR="00F70FE5">
        <w:rPr>
          <w:rFonts w:ascii="Times New Roman" w:hAnsi="Times New Roman"/>
          <w:lang w:val="uk-UA"/>
        </w:rPr>
        <w:t>поліклініки, зроблено 215,6 тисяч</w:t>
      </w:r>
      <w:r w:rsidRPr="00720DC2">
        <w:rPr>
          <w:rFonts w:ascii="Times New Roman" w:hAnsi="Times New Roman"/>
          <w:lang w:val="uk-UA"/>
        </w:rPr>
        <w:t xml:space="preserve"> відвідувань на дому, в домашніх ста</w:t>
      </w:r>
      <w:r w:rsidR="00F70FE5">
        <w:rPr>
          <w:rFonts w:ascii="Times New Roman" w:hAnsi="Times New Roman"/>
          <w:lang w:val="uk-UA"/>
        </w:rPr>
        <w:t>ціонарах проліковано 10561 особу</w:t>
      </w:r>
      <w:r w:rsidRPr="00720DC2">
        <w:rPr>
          <w:rFonts w:ascii="Times New Roman" w:hAnsi="Times New Roman"/>
          <w:lang w:val="uk-UA"/>
        </w:rPr>
        <w:t xml:space="preserve">. </w:t>
      </w:r>
    </w:p>
    <w:p w:rsidR="00837D3B" w:rsidRPr="00720DC2" w:rsidRDefault="00837D3B" w:rsidP="00837D3B">
      <w:pPr>
        <w:pStyle w:val="ac"/>
        <w:ind w:firstLine="567"/>
        <w:jc w:val="both"/>
        <w:rPr>
          <w:rFonts w:ascii="Times New Roman" w:hAnsi="Times New Roman"/>
          <w:lang w:val="uk-UA"/>
        </w:rPr>
      </w:pPr>
      <w:r w:rsidRPr="00720DC2">
        <w:rPr>
          <w:rFonts w:ascii="Times New Roman" w:hAnsi="Times New Roman"/>
          <w:lang w:val="uk-UA"/>
        </w:rPr>
        <w:t xml:space="preserve">У  2018 році використовувались і стаціонарозамінні форми надання медичної допомоги - в денних стаціонарах проліковано 7429 пацієнтів (у 2017 році – 10656), проте ефективність даного виду надання допомоги потребує оптимізації кількості ліжок та наближення їх оснащення до сучасних вимог. </w:t>
      </w:r>
    </w:p>
    <w:p w:rsidR="00837D3B" w:rsidRPr="00720DC2" w:rsidRDefault="00837D3B" w:rsidP="00837D3B">
      <w:pPr>
        <w:pStyle w:val="a7"/>
        <w:spacing w:after="0"/>
        <w:ind w:left="0" w:firstLine="567"/>
        <w:jc w:val="both"/>
        <w:rPr>
          <w:sz w:val="28"/>
          <w:szCs w:val="28"/>
          <w:lang w:val="uk-UA"/>
        </w:rPr>
      </w:pPr>
      <w:r w:rsidRPr="00720DC2">
        <w:rPr>
          <w:sz w:val="28"/>
          <w:szCs w:val="28"/>
          <w:lang w:val="uk-UA"/>
        </w:rPr>
        <w:t xml:space="preserve">Лікарями педіатрами, підлітковими терапевтами та спеціалістами міської дитячої поліклініки з профілактичною метою оглянуті 28011 школярів (99,9 %). Серед них, зокрема, виявлено найбільше дітей з порушенням гостроти зору – 1275 дітей (з них взято на </w:t>
      </w:r>
      <w:r w:rsidR="00D4778A" w:rsidRPr="00720DC2">
        <w:rPr>
          <w:sz w:val="28"/>
          <w:szCs w:val="28"/>
          <w:lang w:val="uk-UA"/>
        </w:rPr>
        <w:t>"</w:t>
      </w:r>
      <w:r w:rsidRPr="00720DC2">
        <w:rPr>
          <w:sz w:val="28"/>
          <w:szCs w:val="28"/>
          <w:lang w:val="uk-UA"/>
        </w:rPr>
        <w:t>Д</w:t>
      </w:r>
      <w:r w:rsidR="00D4778A" w:rsidRPr="00720DC2">
        <w:rPr>
          <w:sz w:val="28"/>
          <w:szCs w:val="28"/>
          <w:lang w:val="uk-UA"/>
        </w:rPr>
        <w:t>"</w:t>
      </w:r>
      <w:r w:rsidRPr="00720DC2">
        <w:rPr>
          <w:sz w:val="28"/>
          <w:szCs w:val="28"/>
          <w:lang w:val="uk-UA"/>
        </w:rPr>
        <w:t xml:space="preserve"> облік 293</w:t>
      </w:r>
      <w:r w:rsidR="008F3867">
        <w:rPr>
          <w:sz w:val="28"/>
          <w:szCs w:val="28"/>
          <w:lang w:val="uk-UA"/>
        </w:rPr>
        <w:t xml:space="preserve"> дитини</w:t>
      </w:r>
      <w:r w:rsidRPr="00720DC2">
        <w:rPr>
          <w:sz w:val="28"/>
          <w:szCs w:val="28"/>
          <w:lang w:val="uk-UA"/>
        </w:rPr>
        <w:t xml:space="preserve">), з порушенням постави –186 дітей; з плоскостопістю – 173 </w:t>
      </w:r>
      <w:r w:rsidR="008F3867">
        <w:rPr>
          <w:sz w:val="28"/>
          <w:szCs w:val="28"/>
          <w:lang w:val="uk-UA"/>
        </w:rPr>
        <w:t>дитини</w:t>
      </w:r>
      <w:r w:rsidRPr="00720DC2">
        <w:rPr>
          <w:sz w:val="28"/>
          <w:szCs w:val="28"/>
          <w:lang w:val="uk-UA"/>
        </w:rPr>
        <w:t>; з дифузним зобом І ст. –</w:t>
      </w:r>
      <w:r w:rsidR="008F3867">
        <w:rPr>
          <w:sz w:val="28"/>
          <w:szCs w:val="28"/>
          <w:lang w:val="uk-UA"/>
        </w:rPr>
        <w:t xml:space="preserve"> </w:t>
      </w:r>
      <w:r w:rsidRPr="00720DC2">
        <w:rPr>
          <w:sz w:val="28"/>
          <w:szCs w:val="28"/>
          <w:lang w:val="uk-UA"/>
        </w:rPr>
        <w:t>175 дітей; з хронічними захворюваннями органів дихання – 212 дітей.</w:t>
      </w:r>
    </w:p>
    <w:p w:rsidR="00837D3B" w:rsidRPr="00720DC2" w:rsidRDefault="00837D3B" w:rsidP="00837D3B">
      <w:pPr>
        <w:pStyle w:val="ac"/>
        <w:ind w:firstLine="567"/>
        <w:jc w:val="both"/>
        <w:rPr>
          <w:rFonts w:ascii="Times New Roman" w:hAnsi="Times New Roman"/>
          <w:lang w:val="uk-UA"/>
        </w:rPr>
      </w:pPr>
      <w:r w:rsidRPr="00720DC2">
        <w:rPr>
          <w:rFonts w:ascii="Times New Roman" w:hAnsi="Times New Roman"/>
          <w:lang w:val="uk-UA"/>
        </w:rPr>
        <w:t xml:space="preserve">У 2018 році збережено мережу та потужність стаціонарних лікувально-профілактичних закладів:  центральна міська клінічна лікарня </w:t>
      </w:r>
      <w:r w:rsidR="008F3867">
        <w:rPr>
          <w:rFonts w:ascii="Times New Roman" w:hAnsi="Times New Roman"/>
          <w:lang w:val="uk-UA"/>
        </w:rPr>
        <w:t>-</w:t>
      </w:r>
      <w:r w:rsidRPr="00720DC2">
        <w:rPr>
          <w:rFonts w:ascii="Times New Roman" w:hAnsi="Times New Roman"/>
          <w:lang w:val="uk-UA"/>
        </w:rPr>
        <w:t xml:space="preserve"> 470 ліжок, міська клінічна лікарня №1 - 240 ліжок, КНП </w:t>
      </w:r>
      <w:r w:rsidR="00D4778A" w:rsidRPr="00720DC2">
        <w:rPr>
          <w:rFonts w:ascii="Times New Roman" w:hAnsi="Times New Roman"/>
          <w:lang w:val="uk-UA"/>
        </w:rPr>
        <w:t>"</w:t>
      </w:r>
      <w:r w:rsidRPr="00720DC2">
        <w:rPr>
          <w:rFonts w:ascii="Times New Roman" w:hAnsi="Times New Roman"/>
          <w:lang w:val="uk-UA"/>
        </w:rPr>
        <w:t>Міська дитяча клінічна лікарня ІФМР</w:t>
      </w:r>
      <w:r w:rsidR="00D4778A" w:rsidRPr="00720DC2">
        <w:rPr>
          <w:rFonts w:ascii="Times New Roman" w:hAnsi="Times New Roman"/>
          <w:lang w:val="uk-UA"/>
        </w:rPr>
        <w:t>"</w:t>
      </w:r>
      <w:r w:rsidRPr="00720DC2">
        <w:rPr>
          <w:rFonts w:ascii="Times New Roman" w:hAnsi="Times New Roman"/>
          <w:lang w:val="uk-UA"/>
        </w:rPr>
        <w:t xml:space="preserve"> - 130 ліжок, КНП </w:t>
      </w:r>
      <w:r w:rsidR="00D4778A" w:rsidRPr="00720DC2">
        <w:rPr>
          <w:rFonts w:ascii="Times New Roman" w:hAnsi="Times New Roman"/>
          <w:lang w:val="uk-UA"/>
        </w:rPr>
        <w:t>"</w:t>
      </w:r>
      <w:r w:rsidRPr="00720DC2">
        <w:rPr>
          <w:rFonts w:ascii="Times New Roman" w:hAnsi="Times New Roman"/>
          <w:lang w:val="uk-UA"/>
        </w:rPr>
        <w:t>ІФ міський клінічний перинатальний центр</w:t>
      </w:r>
      <w:r w:rsidR="00D4778A" w:rsidRPr="00720DC2">
        <w:rPr>
          <w:rFonts w:ascii="Times New Roman" w:hAnsi="Times New Roman"/>
          <w:lang w:val="uk-UA"/>
        </w:rPr>
        <w:t>"</w:t>
      </w:r>
      <w:r w:rsidRPr="00720DC2">
        <w:rPr>
          <w:rFonts w:ascii="Times New Roman" w:hAnsi="Times New Roman"/>
          <w:lang w:val="uk-UA"/>
        </w:rPr>
        <w:t xml:space="preserve"> - 215 ліжок.</w:t>
      </w:r>
    </w:p>
    <w:p w:rsidR="00837D3B" w:rsidRPr="00720DC2" w:rsidRDefault="00837D3B" w:rsidP="00837D3B">
      <w:pPr>
        <w:pStyle w:val="ac"/>
        <w:ind w:firstLine="567"/>
        <w:jc w:val="both"/>
        <w:rPr>
          <w:rFonts w:ascii="Times New Roman" w:hAnsi="Times New Roman"/>
          <w:lang w:val="uk-UA"/>
        </w:rPr>
      </w:pPr>
      <w:r w:rsidRPr="00720DC2">
        <w:rPr>
          <w:rFonts w:ascii="Times New Roman" w:hAnsi="Times New Roman"/>
          <w:lang w:val="uk-UA"/>
        </w:rPr>
        <w:t xml:space="preserve">Всього в стаціонарах міста проліковано  26630 пацієнтів (у 2017 році – 17787). Середня тривалість перебування хворого на стаціонарному лікуванні складає </w:t>
      </w:r>
      <w:r w:rsidR="0086770A" w:rsidRPr="00720DC2">
        <w:rPr>
          <w:rFonts w:ascii="Times New Roman" w:hAnsi="Times New Roman"/>
          <w:lang w:val="uk-UA"/>
        </w:rPr>
        <w:t>9</w:t>
      </w:r>
      <w:r w:rsidRPr="00720DC2">
        <w:rPr>
          <w:rFonts w:ascii="Times New Roman" w:hAnsi="Times New Roman"/>
          <w:lang w:val="uk-UA"/>
        </w:rPr>
        <w:t xml:space="preserve"> днів.</w:t>
      </w:r>
    </w:p>
    <w:p w:rsidR="001C0133" w:rsidRPr="00720DC2" w:rsidRDefault="001C0133" w:rsidP="00837D3B">
      <w:pPr>
        <w:pStyle w:val="ac"/>
        <w:ind w:firstLine="567"/>
        <w:jc w:val="both"/>
        <w:rPr>
          <w:rFonts w:ascii="Times New Roman" w:hAnsi="Times New Roman"/>
          <w:lang w:val="uk-UA"/>
        </w:rPr>
      </w:pPr>
    </w:p>
    <w:p w:rsidR="001C0133" w:rsidRPr="00720DC2" w:rsidRDefault="001C0133" w:rsidP="001C0133">
      <w:pPr>
        <w:pStyle w:val="af7"/>
        <w:widowControl w:val="0"/>
        <w:tabs>
          <w:tab w:val="left" w:pos="708"/>
        </w:tabs>
        <w:jc w:val="both"/>
        <w:rPr>
          <w:i/>
          <w:sz w:val="24"/>
          <w:szCs w:val="24"/>
          <w:lang w:val="uk-UA"/>
        </w:rPr>
      </w:pPr>
      <w:r w:rsidRPr="00720DC2">
        <w:rPr>
          <w:i/>
          <w:sz w:val="24"/>
          <w:szCs w:val="24"/>
          <w:lang w:val="uk-UA"/>
        </w:rPr>
        <w:t>Кількісні та якісні показники ефективності реалізації:</w:t>
      </w:r>
    </w:p>
    <w:tbl>
      <w:tblPr>
        <w:tblStyle w:val="af6"/>
        <w:tblW w:w="0" w:type="auto"/>
        <w:tblLayout w:type="fixed"/>
        <w:tblLook w:val="04A0" w:firstRow="1" w:lastRow="0" w:firstColumn="1" w:lastColumn="0" w:noHBand="0" w:noVBand="1"/>
      </w:tblPr>
      <w:tblGrid>
        <w:gridCol w:w="5495"/>
        <w:gridCol w:w="1417"/>
        <w:gridCol w:w="1276"/>
        <w:gridCol w:w="1305"/>
      </w:tblGrid>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b/>
                <w:sz w:val="24"/>
                <w:szCs w:val="24"/>
                <w:lang w:val="uk-UA"/>
              </w:rPr>
            </w:pPr>
            <w:r w:rsidRPr="00720DC2">
              <w:rPr>
                <w:rFonts w:cs="Times New Roman"/>
                <w:b/>
                <w:sz w:val="24"/>
                <w:szCs w:val="24"/>
                <w:lang w:val="uk-UA"/>
              </w:rPr>
              <w:t>Показники</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b/>
                <w:sz w:val="24"/>
                <w:szCs w:val="24"/>
                <w:lang w:val="uk-UA"/>
              </w:rPr>
            </w:pPr>
            <w:r w:rsidRPr="00720DC2">
              <w:rPr>
                <w:rFonts w:cs="Times New Roman"/>
                <w:b/>
                <w:sz w:val="24"/>
                <w:szCs w:val="24"/>
                <w:lang w:val="uk-UA"/>
              </w:rPr>
              <w:t>Одиниці виміру</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b/>
                <w:sz w:val="24"/>
                <w:szCs w:val="24"/>
                <w:lang w:val="uk-UA"/>
              </w:rPr>
            </w:pPr>
            <w:r w:rsidRPr="00720DC2">
              <w:rPr>
                <w:rFonts w:cs="Times New Roman"/>
                <w:b/>
                <w:sz w:val="24"/>
                <w:szCs w:val="24"/>
                <w:lang w:val="uk-UA"/>
              </w:rPr>
              <w:t>2017 рік</w:t>
            </w:r>
          </w:p>
        </w:tc>
        <w:tc>
          <w:tcPr>
            <w:tcW w:w="130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b/>
                <w:sz w:val="24"/>
                <w:szCs w:val="24"/>
                <w:lang w:val="uk-UA"/>
              </w:rPr>
            </w:pPr>
            <w:r w:rsidRPr="00720DC2">
              <w:rPr>
                <w:rFonts w:cs="Times New Roman"/>
                <w:b/>
                <w:sz w:val="24"/>
                <w:szCs w:val="24"/>
                <w:lang w:val="uk-UA"/>
              </w:rPr>
              <w:t>2018 рік</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t>Кількість лікарень</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4</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35620E">
            <w:pPr>
              <w:jc w:val="center"/>
              <w:rPr>
                <w:rFonts w:cs="Times New Roman"/>
                <w:sz w:val="24"/>
                <w:szCs w:val="24"/>
                <w:lang w:val="uk-UA"/>
              </w:rPr>
            </w:pPr>
            <w:r w:rsidRPr="00720DC2">
              <w:rPr>
                <w:rFonts w:cs="Times New Roman"/>
                <w:sz w:val="24"/>
                <w:szCs w:val="24"/>
                <w:lang w:val="uk-UA"/>
              </w:rPr>
              <w:t>4</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t>Кількість лікарняних ліжок</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1055</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35620E">
            <w:pPr>
              <w:jc w:val="center"/>
              <w:rPr>
                <w:rFonts w:cs="Times New Roman"/>
                <w:sz w:val="24"/>
                <w:szCs w:val="24"/>
                <w:lang w:val="uk-UA"/>
              </w:rPr>
            </w:pPr>
            <w:r w:rsidRPr="00720DC2">
              <w:rPr>
                <w:rFonts w:cs="Times New Roman"/>
                <w:sz w:val="24"/>
                <w:szCs w:val="24"/>
                <w:lang w:val="uk-UA"/>
              </w:rPr>
              <w:t>1055</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t>Середня тривалість перебування на ліжку</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діб</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9,0</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35620E">
            <w:pPr>
              <w:jc w:val="center"/>
              <w:rPr>
                <w:rFonts w:cs="Times New Roman"/>
                <w:sz w:val="24"/>
                <w:szCs w:val="24"/>
                <w:lang w:val="uk-UA"/>
              </w:rPr>
            </w:pPr>
            <w:r w:rsidRPr="00720DC2">
              <w:rPr>
                <w:rFonts w:cs="Times New Roman"/>
                <w:sz w:val="24"/>
                <w:szCs w:val="24"/>
                <w:lang w:val="uk-UA"/>
              </w:rPr>
              <w:t>9,0</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lastRenderedPageBreak/>
              <w:t>Кількість ліжок денних стаціонарів</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280</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86770A">
            <w:pPr>
              <w:jc w:val="center"/>
              <w:rPr>
                <w:rFonts w:cs="Times New Roman"/>
                <w:sz w:val="24"/>
                <w:szCs w:val="24"/>
                <w:lang w:val="uk-UA"/>
              </w:rPr>
            </w:pPr>
            <w:r w:rsidRPr="00720DC2">
              <w:rPr>
                <w:rFonts w:cs="Times New Roman"/>
                <w:sz w:val="24"/>
                <w:szCs w:val="24"/>
                <w:lang w:val="uk-UA"/>
              </w:rPr>
              <w:t>230</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t xml:space="preserve">Кількість лікарських амбулаторно –поліклінічних закладів (самостійних) без стоматологічних </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5</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35620E">
            <w:pPr>
              <w:jc w:val="center"/>
              <w:rPr>
                <w:rFonts w:cs="Times New Roman"/>
                <w:sz w:val="24"/>
                <w:szCs w:val="24"/>
                <w:lang w:val="uk-UA"/>
              </w:rPr>
            </w:pPr>
            <w:r w:rsidRPr="00720DC2">
              <w:rPr>
                <w:rFonts w:cs="Times New Roman"/>
                <w:sz w:val="24"/>
                <w:szCs w:val="24"/>
                <w:lang w:val="uk-UA"/>
              </w:rPr>
              <w:t>1</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t>- з них заклади загальної практики сімейної медицини</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3</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35620E">
            <w:pPr>
              <w:jc w:val="center"/>
              <w:rPr>
                <w:rFonts w:cs="Times New Roman"/>
                <w:sz w:val="24"/>
                <w:szCs w:val="24"/>
                <w:lang w:val="uk-UA"/>
              </w:rPr>
            </w:pPr>
            <w:r w:rsidRPr="00720DC2">
              <w:rPr>
                <w:rFonts w:cs="Times New Roman"/>
                <w:sz w:val="24"/>
                <w:szCs w:val="24"/>
                <w:lang w:val="uk-UA"/>
              </w:rPr>
              <w:t>1</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t>Кількість відвідувань за зміну в амбулаторно-поліклінічних закладах</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відвідувань/за зміну</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2662</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35620E">
            <w:pPr>
              <w:jc w:val="center"/>
              <w:rPr>
                <w:rFonts w:cs="Times New Roman"/>
                <w:sz w:val="24"/>
                <w:szCs w:val="24"/>
                <w:lang w:val="uk-UA"/>
              </w:rPr>
            </w:pPr>
            <w:r w:rsidRPr="00720DC2">
              <w:rPr>
                <w:rFonts w:cs="Times New Roman"/>
                <w:sz w:val="24"/>
                <w:szCs w:val="24"/>
                <w:lang w:val="uk-UA"/>
              </w:rPr>
              <w:t>6458</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t>Кількість стоматологічних амбулаторно-поліклінічних закладів</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2</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35620E">
            <w:pPr>
              <w:jc w:val="center"/>
              <w:rPr>
                <w:rFonts w:cs="Times New Roman"/>
                <w:sz w:val="24"/>
                <w:szCs w:val="24"/>
                <w:lang w:val="uk-UA"/>
              </w:rPr>
            </w:pPr>
            <w:r w:rsidRPr="00720DC2">
              <w:rPr>
                <w:rFonts w:cs="Times New Roman"/>
                <w:sz w:val="24"/>
                <w:szCs w:val="24"/>
                <w:lang w:val="uk-UA"/>
              </w:rPr>
              <w:t>2</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t>Кількість ВІЛ інфікованих, що перебувають на обліку у медичних закладах на кінець року</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осіб</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386</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8301FD">
            <w:pPr>
              <w:ind w:left="-108"/>
              <w:jc w:val="center"/>
              <w:rPr>
                <w:rFonts w:cs="Times New Roman"/>
                <w:sz w:val="24"/>
                <w:szCs w:val="24"/>
                <w:lang w:val="uk-UA"/>
              </w:rPr>
            </w:pPr>
            <w:r w:rsidRPr="00720DC2">
              <w:rPr>
                <w:rFonts w:cs="Times New Roman"/>
                <w:sz w:val="24"/>
                <w:szCs w:val="24"/>
                <w:lang w:val="uk-UA"/>
              </w:rPr>
              <w:t>417</w:t>
            </w:r>
          </w:p>
          <w:p w:rsidR="0086770A" w:rsidRPr="00720DC2" w:rsidRDefault="008301FD" w:rsidP="008301FD">
            <w:pPr>
              <w:ind w:left="-108"/>
              <w:rPr>
                <w:rFonts w:cs="Times New Roman"/>
                <w:sz w:val="20"/>
                <w:szCs w:val="20"/>
                <w:lang w:val="uk-UA"/>
              </w:rPr>
            </w:pPr>
            <w:r w:rsidRPr="00720DC2">
              <w:rPr>
                <w:rFonts w:cs="Times New Roman"/>
                <w:sz w:val="20"/>
                <w:szCs w:val="20"/>
                <w:lang w:val="uk-UA"/>
              </w:rPr>
              <w:t xml:space="preserve"> </w:t>
            </w:r>
            <w:r w:rsidR="0086770A" w:rsidRPr="00720DC2">
              <w:rPr>
                <w:rFonts w:cs="Times New Roman"/>
                <w:sz w:val="20"/>
                <w:szCs w:val="20"/>
                <w:lang w:val="uk-UA"/>
              </w:rPr>
              <w:t>(з них -</w:t>
            </w:r>
            <w:r w:rsidRPr="00720DC2">
              <w:rPr>
                <w:rFonts w:cs="Times New Roman"/>
                <w:sz w:val="20"/>
                <w:szCs w:val="20"/>
                <w:lang w:val="uk-UA"/>
              </w:rPr>
              <w:t xml:space="preserve"> </w:t>
            </w:r>
            <w:r w:rsidR="0086770A" w:rsidRPr="00720DC2">
              <w:rPr>
                <w:rFonts w:cs="Times New Roman"/>
                <w:sz w:val="20"/>
                <w:szCs w:val="20"/>
                <w:lang w:val="uk-UA"/>
              </w:rPr>
              <w:t>8 діти)</w:t>
            </w:r>
          </w:p>
        </w:tc>
      </w:tr>
      <w:tr w:rsidR="0086770A" w:rsidRPr="00720DC2" w:rsidTr="00B80900">
        <w:tc>
          <w:tcPr>
            <w:tcW w:w="5495"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both"/>
              <w:rPr>
                <w:rFonts w:cs="Times New Roman"/>
                <w:sz w:val="24"/>
                <w:szCs w:val="24"/>
                <w:lang w:val="uk-UA"/>
              </w:rPr>
            </w:pPr>
            <w:r w:rsidRPr="00720DC2">
              <w:rPr>
                <w:rFonts w:cs="Times New Roman"/>
                <w:sz w:val="24"/>
                <w:szCs w:val="24"/>
                <w:lang w:val="uk-UA"/>
              </w:rPr>
              <w:t>Кількість хворих на СНІД, що перебувають на обліку у медичних закладах на кінець року</w:t>
            </w:r>
          </w:p>
        </w:tc>
        <w:tc>
          <w:tcPr>
            <w:tcW w:w="1417"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осіб</w:t>
            </w:r>
          </w:p>
        </w:tc>
        <w:tc>
          <w:tcPr>
            <w:tcW w:w="1276" w:type="dxa"/>
            <w:tcBorders>
              <w:top w:val="single" w:sz="4" w:space="0" w:color="auto"/>
              <w:left w:val="single" w:sz="4" w:space="0" w:color="auto"/>
              <w:bottom w:val="single" w:sz="4" w:space="0" w:color="auto"/>
              <w:right w:val="single" w:sz="4" w:space="0" w:color="auto"/>
            </w:tcBorders>
            <w:hideMark/>
          </w:tcPr>
          <w:p w:rsidR="0086770A" w:rsidRPr="00720DC2" w:rsidRDefault="0086770A">
            <w:pPr>
              <w:jc w:val="center"/>
              <w:rPr>
                <w:rFonts w:cs="Times New Roman"/>
                <w:sz w:val="24"/>
                <w:szCs w:val="24"/>
                <w:lang w:val="uk-UA"/>
              </w:rPr>
            </w:pPr>
            <w:r w:rsidRPr="00720DC2">
              <w:rPr>
                <w:rFonts w:cs="Times New Roman"/>
                <w:sz w:val="24"/>
                <w:szCs w:val="24"/>
                <w:lang w:val="uk-UA"/>
              </w:rPr>
              <w:t>144</w:t>
            </w:r>
          </w:p>
        </w:tc>
        <w:tc>
          <w:tcPr>
            <w:tcW w:w="1305" w:type="dxa"/>
            <w:tcBorders>
              <w:top w:val="single" w:sz="4" w:space="0" w:color="auto"/>
              <w:left w:val="single" w:sz="4" w:space="0" w:color="auto"/>
              <w:bottom w:val="single" w:sz="4" w:space="0" w:color="auto"/>
              <w:right w:val="single" w:sz="4" w:space="0" w:color="auto"/>
            </w:tcBorders>
          </w:tcPr>
          <w:p w:rsidR="0086770A" w:rsidRPr="00720DC2" w:rsidRDefault="0086770A" w:rsidP="0035620E">
            <w:pPr>
              <w:jc w:val="center"/>
              <w:rPr>
                <w:rFonts w:cs="Times New Roman"/>
                <w:sz w:val="24"/>
                <w:szCs w:val="24"/>
                <w:lang w:val="uk-UA"/>
              </w:rPr>
            </w:pPr>
            <w:r w:rsidRPr="00720DC2">
              <w:rPr>
                <w:rFonts w:cs="Times New Roman"/>
                <w:sz w:val="24"/>
                <w:szCs w:val="24"/>
                <w:lang w:val="uk-UA"/>
              </w:rPr>
              <w:t>249</w:t>
            </w:r>
          </w:p>
        </w:tc>
      </w:tr>
    </w:tbl>
    <w:p w:rsidR="0086770A" w:rsidRPr="00720DC2" w:rsidRDefault="0086770A" w:rsidP="00837D3B">
      <w:pPr>
        <w:pStyle w:val="ac"/>
        <w:ind w:firstLine="567"/>
        <w:jc w:val="both"/>
        <w:rPr>
          <w:rFonts w:ascii="Times New Roman" w:hAnsi="Times New Roman"/>
          <w:lang w:val="uk-UA"/>
        </w:rPr>
      </w:pPr>
    </w:p>
    <w:p w:rsidR="00837D3B" w:rsidRPr="00720DC2" w:rsidRDefault="00837D3B" w:rsidP="00837D3B">
      <w:pPr>
        <w:pStyle w:val="ac"/>
        <w:ind w:firstLine="567"/>
        <w:jc w:val="both"/>
        <w:rPr>
          <w:rFonts w:ascii="Times New Roman" w:hAnsi="Times New Roman"/>
          <w:lang w:val="uk-UA"/>
        </w:rPr>
      </w:pPr>
      <w:r w:rsidRPr="00720DC2">
        <w:rPr>
          <w:rFonts w:ascii="Times New Roman" w:hAnsi="Times New Roman"/>
          <w:lang w:val="uk-UA"/>
        </w:rPr>
        <w:t>Зменшилась кількість інфарктів міокарду в порівнянні з аналогічним періодом 2017 року - з 201 до 186 випадків та інсультів – з 422 випадків до 388 випадків.</w:t>
      </w:r>
    </w:p>
    <w:p w:rsidR="00837D3B" w:rsidRPr="00720DC2" w:rsidRDefault="00837D3B" w:rsidP="00837D3B">
      <w:pPr>
        <w:pStyle w:val="ac"/>
        <w:ind w:firstLine="567"/>
        <w:jc w:val="both"/>
        <w:rPr>
          <w:rFonts w:ascii="Times New Roman" w:hAnsi="Times New Roman"/>
          <w:lang w:val="uk-UA"/>
        </w:rPr>
      </w:pPr>
      <w:r w:rsidRPr="00720DC2">
        <w:rPr>
          <w:rFonts w:ascii="Times New Roman" w:hAnsi="Times New Roman"/>
          <w:lang w:val="uk-UA"/>
        </w:rPr>
        <w:t>Проблемою залишається захворюваність на цукровий діабет – диспансерна група складає 8099 осіб, з яких інсулінозалежні – 1170 осіб (у 2017  році інсулінозалежних було 1137 осіб); вперше виявлено цукровий діабет</w:t>
      </w:r>
      <w:r w:rsidR="005C5F07">
        <w:rPr>
          <w:rFonts w:ascii="Times New Roman" w:hAnsi="Times New Roman"/>
          <w:lang w:val="uk-UA"/>
        </w:rPr>
        <w:t xml:space="preserve"> </w:t>
      </w:r>
      <w:r w:rsidRPr="00720DC2">
        <w:rPr>
          <w:rFonts w:ascii="Times New Roman" w:hAnsi="Times New Roman"/>
          <w:lang w:val="uk-UA"/>
        </w:rPr>
        <w:t>– 484 дорослих, з яких 8 інсулінозалежних.</w:t>
      </w:r>
    </w:p>
    <w:p w:rsidR="00837D3B" w:rsidRPr="00720DC2" w:rsidRDefault="00837D3B" w:rsidP="000F0A2D">
      <w:pPr>
        <w:pStyle w:val="ac"/>
        <w:ind w:firstLine="709"/>
        <w:jc w:val="both"/>
        <w:rPr>
          <w:rFonts w:ascii="Times New Roman" w:hAnsi="Times New Roman"/>
          <w:lang w:val="uk-UA"/>
        </w:rPr>
      </w:pPr>
      <w:r w:rsidRPr="00720DC2">
        <w:rPr>
          <w:rFonts w:ascii="Times New Roman" w:hAnsi="Times New Roman"/>
          <w:lang w:val="uk-UA"/>
        </w:rPr>
        <w:t>Захворюваність на туберкульоз залишається високою – зареєстровано 52 випадки легеневого туберкульозу.</w:t>
      </w:r>
    </w:p>
    <w:p w:rsidR="00837D3B" w:rsidRPr="00720DC2" w:rsidRDefault="00837D3B" w:rsidP="000F0A2D">
      <w:pPr>
        <w:pStyle w:val="a7"/>
        <w:spacing w:after="0"/>
        <w:ind w:left="0" w:firstLine="709"/>
        <w:jc w:val="both"/>
        <w:rPr>
          <w:sz w:val="28"/>
          <w:szCs w:val="28"/>
          <w:lang w:val="uk-UA"/>
        </w:rPr>
      </w:pPr>
      <w:r w:rsidRPr="00720DC2">
        <w:rPr>
          <w:sz w:val="28"/>
          <w:szCs w:val="28"/>
          <w:lang w:val="uk-UA"/>
        </w:rPr>
        <w:t xml:space="preserve">Первинну інвалідність отримали 627 осіб проти 600 у 2017 році, з них 549 осіб – працездатного віку проти 541 за 2017 рік. Зростання відбулось за рахунок </w:t>
      </w:r>
      <w:r w:rsidR="0073749C">
        <w:rPr>
          <w:sz w:val="28"/>
          <w:szCs w:val="28"/>
          <w:lang w:val="uk-UA"/>
        </w:rPr>
        <w:t>отримання інвалідності</w:t>
      </w:r>
      <w:r w:rsidRPr="00720DC2">
        <w:rPr>
          <w:sz w:val="28"/>
          <w:szCs w:val="28"/>
          <w:lang w:val="uk-UA"/>
        </w:rPr>
        <w:t xml:space="preserve"> </w:t>
      </w:r>
      <w:r w:rsidR="00B02FE5">
        <w:rPr>
          <w:sz w:val="28"/>
          <w:szCs w:val="28"/>
          <w:lang w:val="uk-UA"/>
        </w:rPr>
        <w:t>учасниками</w:t>
      </w:r>
      <w:r w:rsidRPr="00720DC2">
        <w:rPr>
          <w:sz w:val="28"/>
          <w:szCs w:val="28"/>
          <w:lang w:val="uk-UA"/>
        </w:rPr>
        <w:t xml:space="preserve"> АТО, УБД (53 осіб). В структурі виходу на інвалідність перше місце займають хвороби серцево-судинної системи (152 осіб), онкологічні хвороби (113 осіб), психічні захворювання (36 осіб).</w:t>
      </w:r>
    </w:p>
    <w:p w:rsidR="000F0A2D" w:rsidRPr="00720DC2" w:rsidRDefault="000F0A2D" w:rsidP="000F0A2D">
      <w:pPr>
        <w:pStyle w:val="ac"/>
        <w:ind w:firstLine="709"/>
        <w:jc w:val="both"/>
        <w:rPr>
          <w:rFonts w:ascii="Times New Roman" w:hAnsi="Times New Roman"/>
          <w:lang w:val="uk-UA"/>
        </w:rPr>
      </w:pPr>
      <w:r w:rsidRPr="00720DC2">
        <w:rPr>
          <w:rFonts w:ascii="Times New Roman" w:hAnsi="Times New Roman"/>
          <w:lang w:val="uk-UA"/>
        </w:rPr>
        <w:t>Надано гінекологічну та пологову допомогу 5152 жінкам (у 2017 році - 4200  жінкам), прийнято  1716 пологів (у 2017 році - 1500 пологів). Народилось 1737 дітей, що на 152 дитини більше, ніж за аналогічний період 2017 року, померло 2 дітей.</w:t>
      </w:r>
    </w:p>
    <w:p w:rsidR="000F0A2D" w:rsidRPr="00720DC2" w:rsidRDefault="000F0A2D" w:rsidP="000F0A2D">
      <w:pPr>
        <w:pStyle w:val="ac"/>
        <w:ind w:firstLine="709"/>
        <w:jc w:val="both"/>
        <w:rPr>
          <w:rFonts w:ascii="Times New Roman" w:hAnsi="Times New Roman"/>
          <w:lang w:val="uk-UA"/>
        </w:rPr>
      </w:pPr>
      <w:r w:rsidRPr="00720DC2">
        <w:rPr>
          <w:rFonts w:ascii="Times New Roman" w:hAnsi="Times New Roman"/>
          <w:lang w:val="uk-UA"/>
        </w:rPr>
        <w:t>Заклади продовжують активно впровадж</w:t>
      </w:r>
      <w:r w:rsidR="009E06DC">
        <w:rPr>
          <w:rFonts w:ascii="Times New Roman" w:hAnsi="Times New Roman"/>
          <w:lang w:val="uk-UA"/>
        </w:rPr>
        <w:t>увати нові методи</w:t>
      </w:r>
      <w:r w:rsidRPr="00720DC2">
        <w:rPr>
          <w:rFonts w:ascii="Times New Roman" w:hAnsi="Times New Roman"/>
          <w:lang w:val="uk-UA"/>
        </w:rPr>
        <w:t xml:space="preserve"> лікування і діагностики, зокрема й малоінвазивні методи. Проведено 656 коронарографій,  з них 323 ургентно,  поставлено 344 стенти,  в тому числі при гострому коронарно</w:t>
      </w:r>
      <w:r w:rsidR="009E06DC">
        <w:rPr>
          <w:rFonts w:ascii="Times New Roman" w:hAnsi="Times New Roman"/>
          <w:lang w:val="uk-UA"/>
        </w:rPr>
        <w:t>му синдромі – 181.  Встановлено</w:t>
      </w:r>
      <w:r w:rsidRPr="00720DC2">
        <w:rPr>
          <w:rFonts w:ascii="Times New Roman" w:hAnsi="Times New Roman"/>
          <w:lang w:val="uk-UA"/>
        </w:rPr>
        <w:t xml:space="preserve"> 28 штучних водіїв  серцевого ритму.  </w:t>
      </w:r>
    </w:p>
    <w:p w:rsidR="000F0A2D" w:rsidRPr="00720DC2" w:rsidRDefault="000F0A2D" w:rsidP="000F0A2D">
      <w:pPr>
        <w:pStyle w:val="ac"/>
        <w:ind w:firstLine="567"/>
        <w:jc w:val="both"/>
        <w:rPr>
          <w:rFonts w:ascii="Times New Roman" w:hAnsi="Times New Roman"/>
          <w:lang w:val="uk-UA"/>
        </w:rPr>
      </w:pPr>
      <w:r w:rsidRPr="00720DC2">
        <w:rPr>
          <w:rFonts w:ascii="Times New Roman" w:hAnsi="Times New Roman"/>
          <w:lang w:val="uk-UA"/>
        </w:rPr>
        <w:t>У 2018 році, спільно з  кардіохірургами КНІ ССХ ім.М.Амосова,  продовжено  проведення  операцій на відкритому серці  аорто-вінцевого шунтування – 19 операцій, виконано  35 операцій на працюючому серці.</w:t>
      </w:r>
    </w:p>
    <w:p w:rsidR="000F0A2D" w:rsidRPr="00720DC2" w:rsidRDefault="000F0A2D" w:rsidP="000F0A2D">
      <w:pPr>
        <w:pStyle w:val="ac"/>
        <w:ind w:firstLine="567"/>
        <w:jc w:val="both"/>
        <w:rPr>
          <w:rFonts w:ascii="Times New Roman" w:hAnsi="Times New Roman"/>
          <w:lang w:val="uk-UA"/>
        </w:rPr>
      </w:pPr>
      <w:r w:rsidRPr="00720DC2">
        <w:rPr>
          <w:rFonts w:ascii="Times New Roman" w:hAnsi="Times New Roman"/>
          <w:lang w:val="uk-UA"/>
        </w:rPr>
        <w:t>Збільшується і спектр оперативних втручань з використанням ангіографа. У відділення</w:t>
      </w:r>
      <w:r w:rsidR="009E06DC">
        <w:rPr>
          <w:rFonts w:ascii="Times New Roman" w:hAnsi="Times New Roman"/>
          <w:lang w:val="uk-UA"/>
        </w:rPr>
        <w:t>х</w:t>
      </w:r>
      <w:r w:rsidRPr="00720DC2">
        <w:rPr>
          <w:rFonts w:ascii="Times New Roman" w:hAnsi="Times New Roman"/>
          <w:lang w:val="uk-UA"/>
        </w:rPr>
        <w:t xml:space="preserve"> успішно проводяться оперативні втручання емболізації артерій матки при фіброміомах, емболізаціях артерій шлунку, нирок при кровотечах. Запроваджено високоефективні втручання на магістральних артеріях нижніх кінцівок при облітеруючому атеросклерозі, стентування ниркових артерій при стенозі. Проведено 7 тромболізисів (актилізе) пацієнтам із гострими порушеннями мозкового кровообігу.</w:t>
      </w:r>
    </w:p>
    <w:p w:rsidR="000F0A2D" w:rsidRPr="00720DC2" w:rsidRDefault="000F0A2D" w:rsidP="000F0A2D">
      <w:pPr>
        <w:pStyle w:val="ac"/>
        <w:ind w:firstLine="567"/>
        <w:jc w:val="both"/>
        <w:rPr>
          <w:rFonts w:ascii="Times New Roman" w:hAnsi="Times New Roman"/>
          <w:lang w:val="uk-UA"/>
        </w:rPr>
      </w:pPr>
      <w:r w:rsidRPr="00720DC2">
        <w:rPr>
          <w:rFonts w:ascii="Times New Roman" w:hAnsi="Times New Roman"/>
          <w:lang w:val="uk-UA"/>
        </w:rPr>
        <w:lastRenderedPageBreak/>
        <w:t>Поставлено 48 ендопротезів кульшових суглобів, 3 ендопротез</w:t>
      </w:r>
      <w:r w:rsidR="007A4B34">
        <w:rPr>
          <w:rFonts w:ascii="Times New Roman" w:hAnsi="Times New Roman"/>
          <w:lang w:val="uk-UA"/>
        </w:rPr>
        <w:t xml:space="preserve">и </w:t>
      </w:r>
      <w:r w:rsidRPr="00720DC2">
        <w:rPr>
          <w:rFonts w:ascii="Times New Roman" w:hAnsi="Times New Roman"/>
          <w:lang w:val="uk-UA"/>
        </w:rPr>
        <w:t>колінних суглобів, проведено 47 артроскопій, що вдвічі більше, ніж за аналогічний період минулого року.</w:t>
      </w:r>
    </w:p>
    <w:p w:rsidR="000F0A2D" w:rsidRPr="00720DC2" w:rsidRDefault="000F0A2D" w:rsidP="000F0A2D">
      <w:pPr>
        <w:pStyle w:val="ac"/>
        <w:ind w:firstLine="567"/>
        <w:jc w:val="both"/>
        <w:rPr>
          <w:rFonts w:ascii="Times New Roman" w:hAnsi="Times New Roman"/>
          <w:lang w:val="uk-UA"/>
        </w:rPr>
      </w:pPr>
      <w:r w:rsidRPr="00720DC2">
        <w:rPr>
          <w:rFonts w:ascii="Times New Roman" w:hAnsi="Times New Roman"/>
          <w:lang w:val="uk-UA"/>
        </w:rPr>
        <w:t xml:space="preserve">У 2018 році продовжувались роботи з капітальних ремонтів приміщень в закладах охорони здоров’я  міста: </w:t>
      </w:r>
    </w:p>
    <w:p w:rsidR="000F0A2D" w:rsidRPr="00720DC2" w:rsidRDefault="000F0A2D" w:rsidP="000F0A2D">
      <w:pPr>
        <w:pStyle w:val="ac"/>
        <w:ind w:firstLine="567"/>
        <w:jc w:val="both"/>
        <w:rPr>
          <w:rFonts w:ascii="Times New Roman" w:hAnsi="Times New Roman"/>
          <w:lang w:val="uk-UA"/>
        </w:rPr>
      </w:pPr>
      <w:r w:rsidRPr="00720DC2">
        <w:rPr>
          <w:rFonts w:ascii="Times New Roman" w:hAnsi="Times New Roman"/>
          <w:lang w:val="uk-UA"/>
        </w:rPr>
        <w:t>- в центральній міській клінічній лікарні  тривають ремонтні роботи в урологічному та ревматологічному відділеннях;</w:t>
      </w:r>
    </w:p>
    <w:p w:rsidR="000F0A2D" w:rsidRPr="00720DC2" w:rsidRDefault="000F0A2D" w:rsidP="000F0A2D">
      <w:pPr>
        <w:pStyle w:val="ac"/>
        <w:ind w:firstLine="567"/>
        <w:jc w:val="both"/>
        <w:rPr>
          <w:rFonts w:ascii="Times New Roman" w:hAnsi="Times New Roman"/>
          <w:lang w:val="uk-UA"/>
        </w:rPr>
      </w:pPr>
      <w:r w:rsidRPr="00720DC2">
        <w:rPr>
          <w:rFonts w:ascii="Times New Roman" w:hAnsi="Times New Roman"/>
          <w:color w:val="FF0000"/>
          <w:lang w:val="uk-UA"/>
        </w:rPr>
        <w:t>-</w:t>
      </w:r>
      <w:r w:rsidRPr="00720DC2">
        <w:rPr>
          <w:rFonts w:ascii="Times New Roman" w:hAnsi="Times New Roman"/>
          <w:lang w:val="uk-UA"/>
        </w:rPr>
        <w:t xml:space="preserve"> в міській клінічній лікарні №1  - завершуються роботи по капітальному ремонту надземного поверху лікувального корпусу (лабораторія); </w:t>
      </w:r>
    </w:p>
    <w:p w:rsidR="000F0A2D" w:rsidRPr="00720DC2" w:rsidRDefault="000F0A2D" w:rsidP="000F0A2D">
      <w:pPr>
        <w:tabs>
          <w:tab w:val="left" w:pos="851"/>
        </w:tabs>
        <w:ind w:firstLine="426"/>
        <w:jc w:val="both"/>
        <w:rPr>
          <w:rFonts w:cs="Times New Roman"/>
          <w:lang w:val="uk-UA"/>
        </w:rPr>
      </w:pPr>
      <w:r w:rsidRPr="00720DC2">
        <w:rPr>
          <w:rFonts w:cs="Times New Roman"/>
          <w:lang w:val="uk-UA"/>
        </w:rPr>
        <w:t>- проведено капітальний ремонт хірургічного відділення в міській дитячій стоматологічній поліклініці;</w:t>
      </w:r>
    </w:p>
    <w:p w:rsidR="000F0A2D" w:rsidRPr="00720DC2" w:rsidRDefault="000F0A2D" w:rsidP="000F0A2D">
      <w:pPr>
        <w:ind w:firstLine="567"/>
        <w:jc w:val="both"/>
        <w:rPr>
          <w:rFonts w:eastAsia="Calibri" w:cs="Times New Roman"/>
          <w:lang w:val="uk-UA"/>
        </w:rPr>
      </w:pPr>
      <w:r w:rsidRPr="00720DC2">
        <w:rPr>
          <w:rFonts w:cs="Times New Roman"/>
          <w:lang w:val="uk-UA"/>
        </w:rPr>
        <w:t xml:space="preserve">- здійснено </w:t>
      </w:r>
      <w:r w:rsidRPr="00720DC2">
        <w:rPr>
          <w:rFonts w:eastAsia="Calibri" w:cs="Times New Roman"/>
          <w:lang w:val="uk-UA"/>
        </w:rPr>
        <w:t>капітальний ремонт</w:t>
      </w:r>
      <w:r w:rsidRPr="00720DC2">
        <w:rPr>
          <w:rFonts w:cs="Times New Roman"/>
          <w:lang w:val="uk-UA"/>
        </w:rPr>
        <w:t xml:space="preserve"> приміщень СП </w:t>
      </w:r>
      <w:r w:rsidR="00D4778A" w:rsidRPr="00720DC2">
        <w:rPr>
          <w:rFonts w:cs="Times New Roman"/>
          <w:lang w:val="uk-UA"/>
        </w:rPr>
        <w:t>"</w:t>
      </w:r>
      <w:r w:rsidRPr="00720DC2">
        <w:rPr>
          <w:rFonts w:cs="Times New Roman"/>
          <w:lang w:val="uk-UA"/>
        </w:rPr>
        <w:t xml:space="preserve">Міська поліклініка </w:t>
      </w:r>
      <w:r w:rsidRPr="00720DC2">
        <w:rPr>
          <w:rFonts w:eastAsia="Calibri" w:cs="Times New Roman"/>
          <w:lang w:val="uk-UA"/>
        </w:rPr>
        <w:t>№1</w:t>
      </w:r>
      <w:r w:rsidR="00D4778A" w:rsidRPr="00720DC2">
        <w:rPr>
          <w:rFonts w:eastAsia="Calibri" w:cs="Times New Roman"/>
          <w:lang w:val="uk-UA"/>
        </w:rPr>
        <w:t>"</w:t>
      </w:r>
      <w:r w:rsidRPr="00720DC2">
        <w:rPr>
          <w:rFonts w:eastAsia="Calibri" w:cs="Times New Roman"/>
          <w:lang w:val="uk-UA"/>
        </w:rPr>
        <w:t xml:space="preserve">  (</w:t>
      </w:r>
      <w:r w:rsidRPr="00720DC2">
        <w:rPr>
          <w:rFonts w:cs="Times New Roman"/>
          <w:lang w:val="uk-UA"/>
        </w:rPr>
        <w:t xml:space="preserve">кабінет прийому сімейного лікаря; кабінет прийому лікаря-стоматолога, косметичні ремонтні роботи у двох кабінетах прийому лікаря-терапевта); </w:t>
      </w:r>
    </w:p>
    <w:p w:rsidR="000F0A2D" w:rsidRPr="00720DC2" w:rsidRDefault="000F0A2D" w:rsidP="000F0A2D">
      <w:pPr>
        <w:pStyle w:val="ab"/>
        <w:spacing w:before="0" w:beforeAutospacing="0" w:after="0" w:afterAutospacing="0"/>
        <w:ind w:firstLine="567"/>
        <w:jc w:val="both"/>
        <w:rPr>
          <w:sz w:val="28"/>
          <w:szCs w:val="28"/>
          <w:lang w:val="uk-UA"/>
        </w:rPr>
      </w:pPr>
      <w:r w:rsidRPr="00720DC2">
        <w:rPr>
          <w:sz w:val="28"/>
          <w:szCs w:val="28"/>
          <w:lang w:val="uk-UA"/>
        </w:rPr>
        <w:t xml:space="preserve">-  розробляється ПКД для ремонту </w:t>
      </w:r>
      <w:r w:rsidR="009B0BF1">
        <w:rPr>
          <w:sz w:val="28"/>
          <w:szCs w:val="28"/>
          <w:lang w:val="uk-UA"/>
        </w:rPr>
        <w:t>приміщень та  встановлено новий сучасний рентгенапарат</w:t>
      </w:r>
      <w:r w:rsidRPr="00720DC2">
        <w:rPr>
          <w:sz w:val="28"/>
          <w:szCs w:val="28"/>
          <w:lang w:val="uk-UA"/>
        </w:rPr>
        <w:t xml:space="preserve"> у СП </w:t>
      </w:r>
      <w:r w:rsidR="00D4778A" w:rsidRPr="00720DC2">
        <w:rPr>
          <w:sz w:val="28"/>
          <w:szCs w:val="28"/>
          <w:lang w:val="uk-UA"/>
        </w:rPr>
        <w:t>"</w:t>
      </w:r>
      <w:r w:rsidRPr="00720DC2">
        <w:rPr>
          <w:sz w:val="28"/>
          <w:szCs w:val="28"/>
          <w:lang w:val="uk-UA"/>
        </w:rPr>
        <w:t>Міська поліклініка №3</w:t>
      </w:r>
      <w:r w:rsidR="00D4778A" w:rsidRPr="00720DC2">
        <w:rPr>
          <w:sz w:val="28"/>
          <w:szCs w:val="28"/>
          <w:lang w:val="uk-UA"/>
        </w:rPr>
        <w:t>"</w:t>
      </w:r>
      <w:r w:rsidRPr="00720DC2">
        <w:rPr>
          <w:sz w:val="28"/>
          <w:szCs w:val="28"/>
          <w:lang w:val="uk-UA"/>
        </w:rPr>
        <w:t>;</w:t>
      </w:r>
    </w:p>
    <w:p w:rsidR="000F0A2D" w:rsidRPr="00720DC2" w:rsidRDefault="000F0A2D" w:rsidP="000F0A2D">
      <w:pPr>
        <w:pStyle w:val="ab"/>
        <w:numPr>
          <w:ilvl w:val="0"/>
          <w:numId w:val="18"/>
        </w:numPr>
        <w:spacing w:before="0" w:beforeAutospacing="0" w:after="0" w:afterAutospacing="0"/>
        <w:ind w:left="0" w:firstLine="567"/>
        <w:jc w:val="both"/>
        <w:rPr>
          <w:sz w:val="28"/>
          <w:szCs w:val="28"/>
          <w:lang w:val="uk-UA"/>
        </w:rPr>
      </w:pPr>
      <w:r w:rsidRPr="00720DC2">
        <w:rPr>
          <w:sz w:val="28"/>
          <w:szCs w:val="28"/>
          <w:lang w:val="uk-UA"/>
        </w:rPr>
        <w:t xml:space="preserve">проведено капітальний ремонт в педіатричному відділенні №1; капітальний ремонт в педіатричному відділенні №6 у  СП </w:t>
      </w:r>
      <w:r w:rsidR="00D4778A" w:rsidRPr="00720DC2">
        <w:rPr>
          <w:sz w:val="28"/>
          <w:szCs w:val="28"/>
          <w:lang w:val="uk-UA"/>
        </w:rPr>
        <w:t>"</w:t>
      </w:r>
      <w:r w:rsidRPr="00720DC2">
        <w:rPr>
          <w:sz w:val="28"/>
          <w:szCs w:val="28"/>
          <w:lang w:val="uk-UA"/>
        </w:rPr>
        <w:t>Міська дитяча поліклініка</w:t>
      </w:r>
      <w:r w:rsidR="00D4778A" w:rsidRPr="00720DC2">
        <w:rPr>
          <w:sz w:val="28"/>
          <w:szCs w:val="28"/>
          <w:lang w:val="uk-UA"/>
        </w:rPr>
        <w:t>"</w:t>
      </w:r>
      <w:r w:rsidRPr="00720DC2">
        <w:rPr>
          <w:sz w:val="28"/>
          <w:szCs w:val="28"/>
          <w:lang w:val="uk-UA"/>
        </w:rPr>
        <w:t xml:space="preserve">, у центральному корпусі завершено ремонт сходових, проведена заміна системи водовідведення та теплопостачання, здійснено заміну вікон. Завершено ремонт першого поверху центрального корпусу. Замінено покриття підлоги на ІІІ-му поверсі. </w:t>
      </w:r>
    </w:p>
    <w:p w:rsidR="000F0A2D" w:rsidRPr="00720DC2" w:rsidRDefault="000F0A2D" w:rsidP="000F0A2D">
      <w:pPr>
        <w:pStyle w:val="ab"/>
        <w:spacing w:before="0" w:beforeAutospacing="0" w:after="0" w:afterAutospacing="0"/>
        <w:ind w:firstLine="567"/>
        <w:jc w:val="both"/>
        <w:rPr>
          <w:sz w:val="28"/>
          <w:szCs w:val="28"/>
          <w:lang w:val="uk-UA"/>
        </w:rPr>
      </w:pPr>
      <w:r w:rsidRPr="00720DC2">
        <w:rPr>
          <w:sz w:val="28"/>
          <w:szCs w:val="28"/>
          <w:lang w:val="uk-UA"/>
        </w:rPr>
        <w:t xml:space="preserve">Придбано  діагностичну і лікувальну апаратуру, обладнання та устаткування на суму 18687, 8  тис. грн., зокрема:    </w:t>
      </w:r>
    </w:p>
    <w:p w:rsidR="000F0A2D" w:rsidRPr="00720DC2" w:rsidRDefault="000F0A2D" w:rsidP="00E15BD7">
      <w:pPr>
        <w:pStyle w:val="ac"/>
        <w:numPr>
          <w:ilvl w:val="0"/>
          <w:numId w:val="18"/>
        </w:numPr>
        <w:ind w:left="426" w:hanging="426"/>
        <w:jc w:val="both"/>
        <w:rPr>
          <w:rFonts w:ascii="Times New Roman" w:hAnsi="Times New Roman"/>
          <w:lang w:val="uk-UA"/>
        </w:rPr>
      </w:pPr>
      <w:r w:rsidRPr="00720DC2">
        <w:rPr>
          <w:rFonts w:ascii="Times New Roman" w:hAnsi="Times New Roman"/>
          <w:lang w:val="uk-UA"/>
        </w:rPr>
        <w:t xml:space="preserve"> в ЦМКЛ - придбано запасних частин та проведено ремонт ангіографа та комп’ютерного томографа на суму 4,495 тис.грн.</w:t>
      </w:r>
    </w:p>
    <w:p w:rsidR="000F0A2D" w:rsidRPr="00720DC2" w:rsidRDefault="000F0A2D" w:rsidP="00E15BD7">
      <w:pPr>
        <w:pStyle w:val="ac"/>
        <w:numPr>
          <w:ilvl w:val="0"/>
          <w:numId w:val="18"/>
        </w:numPr>
        <w:ind w:left="426" w:hanging="426"/>
        <w:jc w:val="both"/>
        <w:rPr>
          <w:rFonts w:ascii="Times New Roman" w:hAnsi="Times New Roman"/>
          <w:lang w:val="uk-UA"/>
        </w:rPr>
      </w:pPr>
      <w:r w:rsidRPr="00720DC2">
        <w:rPr>
          <w:rFonts w:ascii="Times New Roman" w:hAnsi="Times New Roman"/>
          <w:lang w:val="uk-UA"/>
        </w:rPr>
        <w:t xml:space="preserve"> для КНП МКПЦ придбано апарат УЗД для стаціонару,  новий датчи</w:t>
      </w:r>
      <w:r w:rsidR="003F5DA4">
        <w:rPr>
          <w:rFonts w:ascii="Times New Roman" w:hAnsi="Times New Roman"/>
          <w:lang w:val="uk-UA"/>
        </w:rPr>
        <w:t>к для УЗД апарату, апаратуру</w:t>
      </w:r>
      <w:r w:rsidRPr="00720DC2">
        <w:rPr>
          <w:rFonts w:ascii="Times New Roman" w:hAnsi="Times New Roman"/>
          <w:lang w:val="uk-UA"/>
        </w:rPr>
        <w:t xml:space="preserve"> та обладнання для реанімації новонароджених – на суму 4800,43 тис.гривень,</w:t>
      </w:r>
    </w:p>
    <w:p w:rsidR="000F0A2D" w:rsidRPr="00720DC2" w:rsidRDefault="000F0A2D" w:rsidP="00E15BD7">
      <w:pPr>
        <w:pStyle w:val="ac"/>
        <w:numPr>
          <w:ilvl w:val="0"/>
          <w:numId w:val="18"/>
        </w:numPr>
        <w:ind w:left="426" w:hanging="426"/>
        <w:jc w:val="both"/>
        <w:rPr>
          <w:rFonts w:ascii="Times New Roman" w:hAnsi="Times New Roman"/>
          <w:lang w:val="uk-UA"/>
        </w:rPr>
      </w:pPr>
      <w:r w:rsidRPr="00720DC2">
        <w:rPr>
          <w:rFonts w:ascii="Times New Roman" w:hAnsi="Times New Roman"/>
          <w:lang w:val="uk-UA"/>
        </w:rPr>
        <w:t xml:space="preserve"> для СП МП №3 та СП МП №5 КНП ЦПМ КДД – придбано нове сучасне рентгенологічне обладнання на суму 12 000, 00 тис.грн.</w:t>
      </w:r>
    </w:p>
    <w:p w:rsidR="000F0A2D" w:rsidRPr="00720DC2" w:rsidRDefault="000F0A2D" w:rsidP="000F0A2D">
      <w:pPr>
        <w:pStyle w:val="ab"/>
        <w:spacing w:before="0" w:beforeAutospacing="0" w:after="0" w:afterAutospacing="0"/>
        <w:ind w:left="567"/>
        <w:jc w:val="both"/>
        <w:rPr>
          <w:sz w:val="20"/>
          <w:szCs w:val="20"/>
          <w:lang w:val="uk-UA"/>
        </w:rPr>
      </w:pPr>
    </w:p>
    <w:p w:rsidR="00183E22" w:rsidRPr="00720DC2" w:rsidRDefault="00183E22" w:rsidP="00183E22">
      <w:pPr>
        <w:pStyle w:val="a7"/>
        <w:numPr>
          <w:ilvl w:val="1"/>
          <w:numId w:val="13"/>
        </w:numPr>
        <w:spacing w:after="0"/>
        <w:ind w:left="1134"/>
        <w:jc w:val="both"/>
        <w:outlineLvl w:val="0"/>
        <w:rPr>
          <w:i/>
          <w:sz w:val="28"/>
          <w:szCs w:val="28"/>
          <w:lang w:val="uk-UA"/>
        </w:rPr>
      </w:pPr>
      <w:r w:rsidRPr="00720DC2">
        <w:rPr>
          <w:i/>
          <w:sz w:val="28"/>
          <w:szCs w:val="28"/>
          <w:lang w:val="uk-UA"/>
        </w:rPr>
        <w:t>Освіта</w:t>
      </w:r>
    </w:p>
    <w:p w:rsidR="00183E22" w:rsidRPr="00720DC2" w:rsidRDefault="00183E22" w:rsidP="00183E22">
      <w:pPr>
        <w:pStyle w:val="a7"/>
        <w:spacing w:after="0"/>
        <w:ind w:left="0" w:firstLine="709"/>
        <w:jc w:val="both"/>
        <w:outlineLvl w:val="0"/>
        <w:rPr>
          <w:sz w:val="28"/>
          <w:szCs w:val="28"/>
          <w:lang w:val="uk-UA"/>
        </w:rPr>
      </w:pPr>
      <w:r w:rsidRPr="00720DC2">
        <w:rPr>
          <w:sz w:val="28"/>
          <w:szCs w:val="28"/>
          <w:lang w:val="uk-UA"/>
        </w:rPr>
        <w:t>Дошкільна освіта.</w:t>
      </w:r>
    </w:p>
    <w:p w:rsidR="00183E22" w:rsidRPr="00720DC2" w:rsidRDefault="00183E22" w:rsidP="00183E22">
      <w:pPr>
        <w:pStyle w:val="a7"/>
        <w:spacing w:after="0"/>
        <w:ind w:left="0" w:firstLine="709"/>
        <w:jc w:val="both"/>
        <w:outlineLvl w:val="0"/>
        <w:rPr>
          <w:sz w:val="28"/>
          <w:szCs w:val="28"/>
          <w:lang w:val="uk-UA"/>
        </w:rPr>
      </w:pPr>
      <w:r w:rsidRPr="00720DC2">
        <w:rPr>
          <w:sz w:val="28"/>
          <w:szCs w:val="28"/>
          <w:lang w:val="uk-UA"/>
        </w:rPr>
        <w:t>За статис</w:t>
      </w:r>
      <w:r w:rsidR="002C4BC9">
        <w:rPr>
          <w:sz w:val="28"/>
          <w:szCs w:val="28"/>
          <w:lang w:val="uk-UA"/>
        </w:rPr>
        <w:t>тичними даними</w:t>
      </w:r>
      <w:r w:rsidR="008A0C4F">
        <w:rPr>
          <w:sz w:val="28"/>
          <w:szCs w:val="28"/>
          <w:lang w:val="uk-UA"/>
        </w:rPr>
        <w:t xml:space="preserve"> в місті функціону</w:t>
      </w:r>
      <w:r w:rsidR="00485FF1">
        <w:rPr>
          <w:sz w:val="28"/>
          <w:szCs w:val="28"/>
          <w:lang w:val="uk-UA"/>
        </w:rPr>
        <w:t>є</w:t>
      </w:r>
      <w:r w:rsidR="008A0C4F">
        <w:rPr>
          <w:sz w:val="28"/>
          <w:szCs w:val="28"/>
          <w:lang w:val="uk-UA"/>
        </w:rPr>
        <w:t xml:space="preserve"> 41</w:t>
      </w:r>
      <w:r w:rsidRPr="00720DC2">
        <w:rPr>
          <w:sz w:val="28"/>
          <w:szCs w:val="28"/>
          <w:lang w:val="uk-UA"/>
        </w:rPr>
        <w:t xml:space="preserve"> заклад</w:t>
      </w:r>
      <w:r w:rsidR="008A0C4F">
        <w:rPr>
          <w:sz w:val="28"/>
          <w:szCs w:val="28"/>
          <w:lang w:val="uk-UA"/>
        </w:rPr>
        <w:t xml:space="preserve"> дошкільної освіти (35</w:t>
      </w:r>
      <w:r w:rsidRPr="00720DC2">
        <w:rPr>
          <w:sz w:val="28"/>
          <w:szCs w:val="28"/>
          <w:lang w:val="uk-UA"/>
        </w:rPr>
        <w:t xml:space="preserve"> - комунальн</w:t>
      </w:r>
      <w:r w:rsidR="00485FF1">
        <w:rPr>
          <w:sz w:val="28"/>
          <w:szCs w:val="28"/>
          <w:lang w:val="uk-UA"/>
        </w:rPr>
        <w:t>их</w:t>
      </w:r>
      <w:r w:rsidRPr="00720DC2">
        <w:rPr>
          <w:sz w:val="28"/>
          <w:szCs w:val="28"/>
          <w:lang w:val="uk-UA"/>
        </w:rPr>
        <w:t xml:space="preserve"> заклад</w:t>
      </w:r>
      <w:r w:rsidR="00485FF1">
        <w:rPr>
          <w:sz w:val="28"/>
          <w:szCs w:val="28"/>
          <w:lang w:val="uk-UA"/>
        </w:rPr>
        <w:t>ів</w:t>
      </w:r>
      <w:r w:rsidRPr="00720DC2">
        <w:rPr>
          <w:sz w:val="28"/>
          <w:szCs w:val="28"/>
          <w:lang w:val="uk-UA"/>
        </w:rPr>
        <w:t xml:space="preserve"> дошкільної освіти, 5 навчально-виховних комплексів та 1 навчально-реабілітаційний центр з дошкільними групами). В н</w:t>
      </w:r>
      <w:r w:rsidR="008A0C4F">
        <w:rPr>
          <w:sz w:val="28"/>
          <w:szCs w:val="28"/>
          <w:lang w:val="uk-UA"/>
        </w:rPr>
        <w:t>их виховується та навчається 977</w:t>
      </w:r>
      <w:r w:rsidRPr="00720DC2">
        <w:rPr>
          <w:sz w:val="28"/>
          <w:szCs w:val="28"/>
          <w:lang w:val="uk-UA"/>
        </w:rPr>
        <w:t>8 дітей (проектна потужність усіх груп у закладах за нормативами наповнюваності становить 6306 місць).</w:t>
      </w:r>
    </w:p>
    <w:p w:rsidR="00CB2322" w:rsidRPr="00720DC2" w:rsidRDefault="00CB2322" w:rsidP="00CB2322">
      <w:pPr>
        <w:ind w:firstLine="709"/>
        <w:jc w:val="both"/>
        <w:rPr>
          <w:lang w:val="uk-UA"/>
        </w:rPr>
      </w:pPr>
      <w:r w:rsidRPr="00720DC2">
        <w:rPr>
          <w:lang w:val="uk-UA"/>
        </w:rPr>
        <w:t xml:space="preserve">У 2018 році розширено мережу закладів дошкільної освіти  міста Івано-Франківська на один комунальний заклад та 2 дошкільні групи. Відкрито  дошкільний навчальний заклад (ясла-садок) №25 </w:t>
      </w:r>
      <w:r w:rsidR="00D4778A" w:rsidRPr="00720DC2">
        <w:rPr>
          <w:lang w:val="uk-UA"/>
        </w:rPr>
        <w:t>"</w:t>
      </w:r>
      <w:r w:rsidRPr="00720DC2">
        <w:rPr>
          <w:lang w:val="uk-UA"/>
        </w:rPr>
        <w:t>Янголятко</w:t>
      </w:r>
      <w:r w:rsidR="00D4778A" w:rsidRPr="00720DC2">
        <w:rPr>
          <w:lang w:val="uk-UA"/>
        </w:rPr>
        <w:t>"</w:t>
      </w:r>
      <w:r w:rsidRPr="00720DC2">
        <w:rPr>
          <w:lang w:val="uk-UA"/>
        </w:rPr>
        <w:t xml:space="preserve"> (5 груп, 145 дітей) і 2 дошкільні групи  у ЗШС І ступеня №3 та комунальному закладі освіти І ст. </w:t>
      </w:r>
      <w:r w:rsidR="00D4778A" w:rsidRPr="00720DC2">
        <w:rPr>
          <w:lang w:val="uk-UA"/>
        </w:rPr>
        <w:t>"</w:t>
      </w:r>
      <w:r w:rsidRPr="00720DC2">
        <w:rPr>
          <w:lang w:val="uk-UA"/>
        </w:rPr>
        <w:t>Молодша школа  ім. Софії Русової</w:t>
      </w:r>
      <w:r w:rsidR="00D4778A" w:rsidRPr="00720DC2">
        <w:rPr>
          <w:lang w:val="uk-UA"/>
        </w:rPr>
        <w:t>"</w:t>
      </w:r>
      <w:r w:rsidRPr="00720DC2">
        <w:rPr>
          <w:lang w:val="uk-UA"/>
        </w:rPr>
        <w:t xml:space="preserve"> (60 дітей).  Відкрито приватний заклад дошкільної освіти </w:t>
      </w:r>
      <w:r w:rsidR="00D4778A" w:rsidRPr="00720DC2">
        <w:rPr>
          <w:lang w:val="uk-UA"/>
        </w:rPr>
        <w:t>"</w:t>
      </w:r>
      <w:r w:rsidRPr="00720DC2">
        <w:rPr>
          <w:lang w:val="uk-UA"/>
        </w:rPr>
        <w:t>Первісток</w:t>
      </w:r>
      <w:r w:rsidR="00D4778A" w:rsidRPr="00720DC2">
        <w:rPr>
          <w:lang w:val="uk-UA"/>
        </w:rPr>
        <w:t>"</w:t>
      </w:r>
      <w:r w:rsidRPr="00720DC2">
        <w:rPr>
          <w:lang w:val="uk-UA"/>
        </w:rPr>
        <w:t xml:space="preserve"> (5</w:t>
      </w:r>
      <w:r w:rsidR="004905BE">
        <w:rPr>
          <w:lang w:val="uk-UA"/>
        </w:rPr>
        <w:t xml:space="preserve"> </w:t>
      </w:r>
      <w:r w:rsidRPr="00720DC2">
        <w:rPr>
          <w:lang w:val="uk-UA"/>
        </w:rPr>
        <w:t xml:space="preserve">груп, </w:t>
      </w:r>
      <w:r w:rsidR="008A0C4F">
        <w:rPr>
          <w:lang w:val="uk-UA"/>
        </w:rPr>
        <w:t>5</w:t>
      </w:r>
      <w:r w:rsidRPr="00720DC2">
        <w:rPr>
          <w:lang w:val="uk-UA"/>
        </w:rPr>
        <w:t>0 дітей).</w:t>
      </w:r>
    </w:p>
    <w:p w:rsidR="00CB2322" w:rsidRPr="00720DC2" w:rsidRDefault="00CB2322" w:rsidP="00CB2322">
      <w:pPr>
        <w:ind w:firstLine="709"/>
        <w:jc w:val="both"/>
        <w:rPr>
          <w:lang w:val="uk-UA"/>
        </w:rPr>
      </w:pPr>
      <w:r w:rsidRPr="00720DC2">
        <w:rPr>
          <w:rFonts w:eastAsia="Times New Roman" w:cs="Times New Roman"/>
          <w:lang w:val="uk-UA" w:eastAsia="ru-RU"/>
        </w:rPr>
        <w:t>Триває будівництво дитячого садка у селі Крихівці та з</w:t>
      </w:r>
      <w:r w:rsidRPr="00720DC2">
        <w:rPr>
          <w:lang w:val="uk-UA"/>
        </w:rPr>
        <w:t xml:space="preserve">дійснюється реконструкція закладу дошкільної освіти №21 </w:t>
      </w:r>
      <w:r w:rsidR="00D4778A" w:rsidRPr="00720DC2">
        <w:rPr>
          <w:lang w:val="uk-UA"/>
        </w:rPr>
        <w:t>"</w:t>
      </w:r>
      <w:r w:rsidRPr="00720DC2">
        <w:rPr>
          <w:lang w:val="uk-UA"/>
        </w:rPr>
        <w:t>Подоляночка</w:t>
      </w:r>
      <w:r w:rsidR="00D4778A" w:rsidRPr="00720DC2">
        <w:rPr>
          <w:lang w:val="uk-UA"/>
        </w:rPr>
        <w:t>"</w:t>
      </w:r>
      <w:r w:rsidRPr="00720DC2">
        <w:rPr>
          <w:lang w:val="uk-UA"/>
        </w:rPr>
        <w:t xml:space="preserve"> </w:t>
      </w:r>
      <w:r w:rsidR="005674FE">
        <w:rPr>
          <w:lang w:val="uk-UA"/>
        </w:rPr>
        <w:t>на</w:t>
      </w:r>
      <w:r w:rsidRPr="00720DC2">
        <w:rPr>
          <w:lang w:val="uk-UA"/>
        </w:rPr>
        <w:t xml:space="preserve"> </w:t>
      </w:r>
      <w:r w:rsidRPr="00720DC2">
        <w:rPr>
          <w:lang w:val="uk-UA"/>
        </w:rPr>
        <w:lastRenderedPageBreak/>
        <w:t>вул.Хоткевича, 11а</w:t>
      </w:r>
      <w:r w:rsidR="00E25D42" w:rsidRPr="00720DC2">
        <w:rPr>
          <w:lang w:val="uk-UA"/>
        </w:rPr>
        <w:t xml:space="preserve"> </w:t>
      </w:r>
      <w:r w:rsidRPr="00720DC2">
        <w:rPr>
          <w:lang w:val="uk-UA"/>
        </w:rPr>
        <w:t xml:space="preserve"> (6 груп – 110 місць).</w:t>
      </w:r>
      <w:r w:rsidRPr="00720DC2">
        <w:rPr>
          <w:rFonts w:eastAsia="Times New Roman" w:cs="Times New Roman"/>
          <w:lang w:val="uk-UA" w:eastAsia="ru-RU"/>
        </w:rPr>
        <w:t xml:space="preserve"> Планується розпочати будівництво дошкільного навчального закладу в мікрорайоні </w:t>
      </w:r>
      <w:r w:rsidR="00D4778A" w:rsidRPr="00720DC2">
        <w:rPr>
          <w:rFonts w:eastAsia="Times New Roman" w:cs="Times New Roman"/>
          <w:lang w:val="uk-UA" w:eastAsia="ru-RU"/>
        </w:rPr>
        <w:t>"</w:t>
      </w:r>
      <w:r w:rsidRPr="00720DC2">
        <w:rPr>
          <w:rFonts w:eastAsia="Times New Roman" w:cs="Times New Roman"/>
          <w:lang w:val="uk-UA" w:eastAsia="ru-RU"/>
        </w:rPr>
        <w:t>Каскад</w:t>
      </w:r>
      <w:r w:rsidR="00D4778A" w:rsidRPr="00720DC2">
        <w:rPr>
          <w:rFonts w:eastAsia="Times New Roman" w:cs="Times New Roman"/>
          <w:lang w:val="uk-UA" w:eastAsia="ru-RU"/>
        </w:rPr>
        <w:t>"</w:t>
      </w:r>
      <w:r w:rsidRPr="00720DC2">
        <w:rPr>
          <w:rFonts w:eastAsia="Times New Roman" w:cs="Times New Roman"/>
          <w:lang w:val="uk-UA" w:eastAsia="ru-RU"/>
        </w:rPr>
        <w:t>.</w:t>
      </w:r>
    </w:p>
    <w:p w:rsidR="00183E22" w:rsidRPr="00720DC2" w:rsidRDefault="00CB2322" w:rsidP="00183E22">
      <w:pPr>
        <w:pStyle w:val="a7"/>
        <w:spacing w:after="0"/>
        <w:ind w:left="0" w:firstLine="709"/>
        <w:jc w:val="both"/>
        <w:outlineLvl w:val="0"/>
        <w:rPr>
          <w:sz w:val="28"/>
          <w:szCs w:val="28"/>
          <w:lang w:val="uk-UA"/>
        </w:rPr>
      </w:pPr>
      <w:r w:rsidRPr="00720DC2">
        <w:rPr>
          <w:sz w:val="28"/>
          <w:szCs w:val="28"/>
          <w:lang w:val="uk-UA"/>
        </w:rPr>
        <w:t>В</w:t>
      </w:r>
      <w:r w:rsidR="00183E22" w:rsidRPr="00720DC2">
        <w:rPr>
          <w:sz w:val="28"/>
          <w:szCs w:val="28"/>
          <w:lang w:val="uk-UA"/>
        </w:rPr>
        <w:t>ідкрито 12 інклюзивних груп для дітей, які потребують корекції розумового та фізичного розвитку.</w:t>
      </w:r>
    </w:p>
    <w:p w:rsidR="00CB2322" w:rsidRPr="00720DC2" w:rsidRDefault="00CB2322" w:rsidP="00CB2322">
      <w:pPr>
        <w:ind w:firstLine="709"/>
        <w:jc w:val="both"/>
        <w:rPr>
          <w:lang w:val="uk-UA"/>
        </w:rPr>
      </w:pPr>
      <w:r w:rsidRPr="00720DC2">
        <w:rPr>
          <w:lang w:val="uk-UA"/>
        </w:rPr>
        <w:t>Охоплення дітей від 3 до 6(7) років дошкільними закладами становить 97%, а усіма формами дошкільної освіти – 98 %.</w:t>
      </w:r>
    </w:p>
    <w:p w:rsidR="00183E22" w:rsidRPr="00720DC2" w:rsidRDefault="00183E22" w:rsidP="00183E22">
      <w:pPr>
        <w:pStyle w:val="a7"/>
        <w:spacing w:after="0"/>
        <w:ind w:left="0" w:firstLine="709"/>
        <w:jc w:val="both"/>
        <w:outlineLvl w:val="0"/>
        <w:rPr>
          <w:sz w:val="28"/>
          <w:szCs w:val="28"/>
          <w:lang w:val="uk-UA"/>
        </w:rPr>
      </w:pPr>
      <w:r w:rsidRPr="00720DC2">
        <w:rPr>
          <w:sz w:val="28"/>
          <w:szCs w:val="28"/>
          <w:lang w:val="uk-UA"/>
        </w:rPr>
        <w:t>Продовжуються роботи з покращення стану дошкільних закладів, зокрема:</w:t>
      </w:r>
    </w:p>
    <w:p w:rsidR="00854E38" w:rsidRPr="00720DC2" w:rsidRDefault="00854E38" w:rsidP="00183E22">
      <w:pPr>
        <w:numPr>
          <w:ilvl w:val="0"/>
          <w:numId w:val="16"/>
        </w:numPr>
        <w:tabs>
          <w:tab w:val="clear" w:pos="1428"/>
          <w:tab w:val="num" w:pos="142"/>
        </w:tabs>
        <w:ind w:left="0" w:firstLine="567"/>
        <w:jc w:val="both"/>
        <w:outlineLvl w:val="0"/>
        <w:rPr>
          <w:lang w:val="uk-UA"/>
        </w:rPr>
      </w:pPr>
      <w:r w:rsidRPr="00720DC2">
        <w:rPr>
          <w:lang w:val="uk-UA"/>
        </w:rPr>
        <w:t xml:space="preserve">проведено </w:t>
      </w:r>
      <w:r w:rsidRPr="00720DC2">
        <w:rPr>
          <w:rFonts w:cs="Times New Roman"/>
          <w:lang w:val="uk-UA"/>
        </w:rPr>
        <w:t>капітальний ремонт системи водопостачання та водовідведення в ДНЗ № 10, 12; поточний ремонт - ДНЗ №1, 20, 23,29;</w:t>
      </w:r>
    </w:p>
    <w:p w:rsidR="00854E38" w:rsidRPr="00720DC2" w:rsidRDefault="00854E38" w:rsidP="00183E22">
      <w:pPr>
        <w:numPr>
          <w:ilvl w:val="0"/>
          <w:numId w:val="16"/>
        </w:numPr>
        <w:tabs>
          <w:tab w:val="clear" w:pos="1428"/>
          <w:tab w:val="num" w:pos="142"/>
        </w:tabs>
        <w:ind w:left="0" w:firstLine="567"/>
        <w:jc w:val="both"/>
        <w:outlineLvl w:val="0"/>
        <w:rPr>
          <w:lang w:val="uk-UA"/>
        </w:rPr>
      </w:pPr>
      <w:r w:rsidRPr="00720DC2">
        <w:rPr>
          <w:rFonts w:cs="Times New Roman"/>
          <w:lang w:val="uk-UA"/>
        </w:rPr>
        <w:t>завершено капітальний ремонт санвузлів у 3 закладах  (ДНЗ №23, ДНЗ№29, ДНЗ №33);</w:t>
      </w:r>
    </w:p>
    <w:p w:rsidR="00183E22" w:rsidRPr="00720DC2" w:rsidRDefault="00854E38" w:rsidP="00183E22">
      <w:pPr>
        <w:numPr>
          <w:ilvl w:val="0"/>
          <w:numId w:val="16"/>
        </w:numPr>
        <w:tabs>
          <w:tab w:val="clear" w:pos="1428"/>
          <w:tab w:val="num" w:pos="142"/>
        </w:tabs>
        <w:ind w:left="0" w:firstLine="567"/>
        <w:jc w:val="both"/>
        <w:outlineLvl w:val="0"/>
        <w:rPr>
          <w:lang w:val="uk-UA"/>
        </w:rPr>
      </w:pPr>
      <w:r w:rsidRPr="00720DC2">
        <w:rPr>
          <w:rFonts w:cs="Times New Roman"/>
          <w:lang w:val="uk-UA"/>
        </w:rPr>
        <w:t xml:space="preserve"> </w:t>
      </w:r>
      <w:r w:rsidR="00183E22" w:rsidRPr="00720DC2">
        <w:rPr>
          <w:lang w:val="uk-UA"/>
        </w:rPr>
        <w:t>проведено капітальні ремонти приміщень у 12 ДНЗ міста: №3,7,9,11,15,18,20,23,27,29,33,36;</w:t>
      </w:r>
    </w:p>
    <w:p w:rsidR="00854E38" w:rsidRPr="00720DC2" w:rsidRDefault="00E25D42" w:rsidP="00183E22">
      <w:pPr>
        <w:numPr>
          <w:ilvl w:val="0"/>
          <w:numId w:val="16"/>
        </w:numPr>
        <w:tabs>
          <w:tab w:val="clear" w:pos="1428"/>
          <w:tab w:val="num" w:pos="142"/>
        </w:tabs>
        <w:ind w:left="0" w:firstLine="567"/>
        <w:jc w:val="both"/>
        <w:outlineLvl w:val="0"/>
        <w:rPr>
          <w:lang w:val="uk-UA"/>
        </w:rPr>
      </w:pPr>
      <w:r w:rsidRPr="00720DC2">
        <w:rPr>
          <w:rFonts w:cs="Times New Roman"/>
          <w:lang w:val="uk-UA"/>
        </w:rPr>
        <w:t>з</w:t>
      </w:r>
      <w:r w:rsidR="00854E38" w:rsidRPr="00720DC2">
        <w:rPr>
          <w:rFonts w:cs="Times New Roman"/>
          <w:lang w:val="uk-UA"/>
        </w:rPr>
        <w:t>дійснено капітальний ремонт харчоблок</w:t>
      </w:r>
      <w:r w:rsidRPr="00720DC2">
        <w:rPr>
          <w:rFonts w:cs="Times New Roman"/>
          <w:lang w:val="uk-UA"/>
        </w:rPr>
        <w:t xml:space="preserve">ів у </w:t>
      </w:r>
      <w:r w:rsidR="00854E38" w:rsidRPr="00720DC2">
        <w:rPr>
          <w:rFonts w:cs="Times New Roman"/>
          <w:lang w:val="uk-UA"/>
        </w:rPr>
        <w:t xml:space="preserve"> ДНЗ № 3,22,36;</w:t>
      </w:r>
    </w:p>
    <w:p w:rsidR="00183E22" w:rsidRPr="00720DC2" w:rsidRDefault="00183E22" w:rsidP="00854E38">
      <w:pPr>
        <w:pStyle w:val="a7"/>
        <w:spacing w:after="0"/>
        <w:ind w:left="567"/>
        <w:jc w:val="both"/>
        <w:outlineLvl w:val="0"/>
        <w:rPr>
          <w:sz w:val="28"/>
          <w:szCs w:val="28"/>
          <w:lang w:val="uk-UA"/>
        </w:rPr>
      </w:pPr>
      <w:r w:rsidRPr="00720DC2">
        <w:rPr>
          <w:sz w:val="28"/>
          <w:szCs w:val="28"/>
          <w:lang w:val="uk-UA"/>
        </w:rPr>
        <w:t>- здійснено капітальний ремонт систем опалення в ДНЗ №10 та №14;</w:t>
      </w:r>
    </w:p>
    <w:p w:rsidR="00183E22" w:rsidRPr="00720DC2" w:rsidRDefault="00183E22" w:rsidP="00854E38">
      <w:pPr>
        <w:pStyle w:val="a7"/>
        <w:spacing w:after="0"/>
        <w:ind w:left="0" w:firstLine="567"/>
        <w:jc w:val="both"/>
        <w:outlineLvl w:val="0"/>
        <w:rPr>
          <w:sz w:val="28"/>
          <w:szCs w:val="28"/>
          <w:lang w:val="uk-UA"/>
        </w:rPr>
      </w:pPr>
      <w:r w:rsidRPr="00720DC2">
        <w:rPr>
          <w:sz w:val="28"/>
          <w:szCs w:val="28"/>
          <w:lang w:val="uk-UA"/>
        </w:rPr>
        <w:t>- проводяться роботи по заміні опалення з використанням сучасних матері</w:t>
      </w:r>
      <w:r w:rsidR="0053533A">
        <w:rPr>
          <w:sz w:val="28"/>
          <w:szCs w:val="28"/>
          <w:lang w:val="uk-UA"/>
        </w:rPr>
        <w:t>алів в ДНЗ №6;</w:t>
      </w:r>
    </w:p>
    <w:p w:rsidR="00854E38" w:rsidRPr="00720DC2" w:rsidRDefault="00854E38" w:rsidP="00854E38">
      <w:pPr>
        <w:numPr>
          <w:ilvl w:val="0"/>
          <w:numId w:val="16"/>
        </w:numPr>
        <w:tabs>
          <w:tab w:val="clear" w:pos="1428"/>
          <w:tab w:val="num" w:pos="142"/>
        </w:tabs>
        <w:ind w:left="-142" w:firstLine="567"/>
        <w:jc w:val="both"/>
        <w:rPr>
          <w:rFonts w:cs="Times New Roman"/>
          <w:lang w:val="uk-UA"/>
        </w:rPr>
      </w:pPr>
      <w:r w:rsidRPr="00720DC2">
        <w:rPr>
          <w:rFonts w:cs="Times New Roman"/>
          <w:lang w:val="uk-UA"/>
        </w:rPr>
        <w:t>брукування території ДНЗ № 1, 4,10,28.</w:t>
      </w:r>
    </w:p>
    <w:p w:rsidR="00854E38" w:rsidRPr="00720DC2" w:rsidRDefault="00854E38" w:rsidP="00854E38">
      <w:pPr>
        <w:ind w:firstLine="709"/>
        <w:jc w:val="both"/>
        <w:rPr>
          <w:lang w:val="uk-UA"/>
        </w:rPr>
      </w:pPr>
      <w:r w:rsidRPr="00720DC2">
        <w:rPr>
          <w:lang w:val="uk-UA"/>
        </w:rPr>
        <w:t>Завершено  поточний ремонт даху господарського корпусу ДНЗ №9.</w:t>
      </w:r>
    </w:p>
    <w:p w:rsidR="00854E38" w:rsidRPr="00720DC2" w:rsidRDefault="00E73B1C" w:rsidP="00854E38">
      <w:pPr>
        <w:ind w:firstLine="709"/>
        <w:jc w:val="both"/>
        <w:rPr>
          <w:lang w:val="uk-UA"/>
        </w:rPr>
      </w:pPr>
      <w:r>
        <w:rPr>
          <w:lang w:val="uk-UA"/>
        </w:rPr>
        <w:t>Проводилися</w:t>
      </w:r>
      <w:r w:rsidR="00854E38" w:rsidRPr="00720DC2">
        <w:rPr>
          <w:lang w:val="uk-UA"/>
        </w:rPr>
        <w:t xml:space="preserve"> роботи з капітального ремонту вентиляційної системи, системи фільтрації та підігрів</w:t>
      </w:r>
      <w:r>
        <w:rPr>
          <w:lang w:val="uk-UA"/>
        </w:rPr>
        <w:t>у</w:t>
      </w:r>
      <w:r w:rsidR="00854E38" w:rsidRPr="00720DC2">
        <w:rPr>
          <w:lang w:val="uk-UA"/>
        </w:rPr>
        <w:t xml:space="preserve"> басейну в ДНЗ №28.</w:t>
      </w:r>
    </w:p>
    <w:p w:rsidR="00183E22" w:rsidRPr="00720DC2" w:rsidRDefault="00183E22" w:rsidP="00E15BD7">
      <w:pPr>
        <w:pStyle w:val="a7"/>
        <w:spacing w:after="0"/>
        <w:ind w:left="0" w:firstLine="567"/>
        <w:jc w:val="both"/>
        <w:outlineLvl w:val="0"/>
        <w:rPr>
          <w:sz w:val="28"/>
          <w:szCs w:val="28"/>
          <w:lang w:val="uk-UA"/>
        </w:rPr>
      </w:pPr>
      <w:r w:rsidRPr="00720DC2">
        <w:rPr>
          <w:sz w:val="28"/>
          <w:szCs w:val="28"/>
          <w:lang w:val="uk-UA"/>
        </w:rPr>
        <w:t>Загальна середня освіта:</w:t>
      </w:r>
    </w:p>
    <w:p w:rsidR="00183E22" w:rsidRPr="00720DC2" w:rsidRDefault="00183E22" w:rsidP="00E15BD7">
      <w:pPr>
        <w:pStyle w:val="a7"/>
        <w:tabs>
          <w:tab w:val="left" w:pos="851"/>
        </w:tabs>
        <w:spacing w:after="0"/>
        <w:ind w:left="0" w:firstLine="567"/>
        <w:jc w:val="both"/>
        <w:outlineLvl w:val="0"/>
        <w:rPr>
          <w:sz w:val="28"/>
          <w:szCs w:val="28"/>
          <w:lang w:val="uk-UA"/>
        </w:rPr>
      </w:pPr>
      <w:r w:rsidRPr="00720DC2">
        <w:rPr>
          <w:sz w:val="28"/>
          <w:szCs w:val="28"/>
          <w:lang w:val="uk-UA"/>
        </w:rPr>
        <w:t xml:space="preserve">У 2018-2019 навчальному році в місті Івано-Франківську функціонує 42 заклади загальної середньої освіти, у 1042-ох класах навчається 28 045 учнів. Серед закладів освіти: 4 приватні школи (40 класів, 687 учнів), НРЦ для дітей з особливими потребами (19 класів, 142 учні), 3 спеціалізовані школи з поглибленим вивченням іноземних мов (107 класів, 3 437 учнів), 2 гімназії, природничо-математичний ліцей, ЗШЛ № 23, НВК </w:t>
      </w:r>
      <w:r w:rsidR="00D4778A" w:rsidRPr="00720DC2">
        <w:rPr>
          <w:sz w:val="28"/>
          <w:szCs w:val="28"/>
          <w:lang w:val="uk-UA"/>
        </w:rPr>
        <w:t>"</w:t>
      </w:r>
      <w:r w:rsidRPr="00720DC2">
        <w:rPr>
          <w:sz w:val="28"/>
          <w:szCs w:val="28"/>
          <w:lang w:val="uk-UA"/>
        </w:rPr>
        <w:t>Школа-гімназія № 3</w:t>
      </w:r>
      <w:r w:rsidR="00D4778A" w:rsidRPr="00720DC2">
        <w:rPr>
          <w:sz w:val="28"/>
          <w:szCs w:val="28"/>
          <w:lang w:val="uk-UA"/>
        </w:rPr>
        <w:t>"</w:t>
      </w:r>
      <w:r w:rsidRPr="00720DC2">
        <w:rPr>
          <w:sz w:val="28"/>
          <w:szCs w:val="28"/>
          <w:lang w:val="uk-UA"/>
        </w:rPr>
        <w:t>, 3 школи-садки та 3 школи І ступеня. У порівнянні з попереднім навчальним роком фактична мережа загальноосвітніх навчальних закладів зросла на 55 класів (1 522 учні). На 20 класів (513 учнів) зросла мережа учнів 1-4-х класів, темп зростання становить 8%. Кількість учнів молодших класів сягнула 12 455 учнів, що є найвищим показником за останні 20 років. У перших класах навчається 3 410 учнів.</w:t>
      </w:r>
      <w:r w:rsidR="00D51370" w:rsidRPr="00D51370">
        <w:rPr>
          <w:sz w:val="28"/>
          <w:szCs w:val="28"/>
          <w:lang w:val="uk-UA"/>
        </w:rPr>
        <w:t xml:space="preserve"> </w:t>
      </w:r>
      <w:r w:rsidR="00D51370" w:rsidRPr="00720DC2">
        <w:rPr>
          <w:sz w:val="28"/>
          <w:szCs w:val="28"/>
          <w:lang w:val="uk-UA"/>
        </w:rPr>
        <w:t>З 2001 року це найбільша кількість першокласників у місті.</w:t>
      </w:r>
    </w:p>
    <w:p w:rsidR="00183E22" w:rsidRPr="00720DC2" w:rsidRDefault="00183E22" w:rsidP="00E15BD7">
      <w:pPr>
        <w:pStyle w:val="a7"/>
        <w:tabs>
          <w:tab w:val="left" w:pos="851"/>
        </w:tabs>
        <w:spacing w:after="0"/>
        <w:ind w:left="0" w:firstLine="567"/>
        <w:jc w:val="both"/>
        <w:outlineLvl w:val="0"/>
        <w:rPr>
          <w:sz w:val="28"/>
          <w:szCs w:val="28"/>
          <w:lang w:val="uk-UA"/>
        </w:rPr>
      </w:pPr>
      <w:r w:rsidRPr="00720DC2">
        <w:rPr>
          <w:sz w:val="28"/>
          <w:szCs w:val="28"/>
          <w:lang w:val="uk-UA"/>
        </w:rPr>
        <w:t xml:space="preserve">У Навчально-реабілітаційному центрі навчається 142 дитини, половина з яких мають змогу навчатися за освітніми програмами закладів загальної середньої освіти та отримати документ про освіту. У 2018-2019 навчальному році інклюзивне навчання організовано для 43 дітей з особливими освітніми потребами на базі 23-х закладів освіти. </w:t>
      </w:r>
      <w:r w:rsidRPr="00720DC2">
        <w:rPr>
          <w:sz w:val="28"/>
          <w:szCs w:val="28"/>
          <w:lang w:val="uk-UA"/>
        </w:rPr>
        <w:tab/>
        <w:t xml:space="preserve">Крім того, вперше у 2018-2019 н.р. відкрито 6 інклюзивних груп подовженого дня для 7-ми дітей з особливими освітніми потребами. </w:t>
      </w:r>
    </w:p>
    <w:p w:rsidR="00183E22" w:rsidRPr="00720DC2" w:rsidRDefault="00183E22" w:rsidP="00183E22">
      <w:pPr>
        <w:pStyle w:val="a7"/>
        <w:tabs>
          <w:tab w:val="left" w:pos="851"/>
          <w:tab w:val="left" w:pos="1134"/>
        </w:tabs>
        <w:spacing w:after="0"/>
        <w:ind w:left="0" w:firstLine="709"/>
        <w:jc w:val="both"/>
        <w:outlineLvl w:val="0"/>
        <w:rPr>
          <w:sz w:val="28"/>
          <w:szCs w:val="28"/>
          <w:lang w:val="uk-UA"/>
        </w:rPr>
      </w:pPr>
      <w:r w:rsidRPr="00720DC2">
        <w:rPr>
          <w:sz w:val="28"/>
          <w:szCs w:val="28"/>
          <w:lang w:val="uk-UA"/>
        </w:rPr>
        <w:t>Велика увага приділялась покращенню матеріально-технічного стану закладів освіти, а саме:</w:t>
      </w:r>
    </w:p>
    <w:p w:rsidR="00183E22" w:rsidRPr="00720DC2" w:rsidRDefault="00183E22" w:rsidP="00636220">
      <w:pPr>
        <w:pStyle w:val="a7"/>
        <w:spacing w:after="0"/>
        <w:ind w:left="0" w:firstLine="426"/>
        <w:jc w:val="both"/>
        <w:outlineLvl w:val="0"/>
        <w:rPr>
          <w:sz w:val="28"/>
          <w:szCs w:val="28"/>
          <w:lang w:val="uk-UA"/>
        </w:rPr>
      </w:pPr>
      <w:r w:rsidRPr="00720DC2">
        <w:rPr>
          <w:sz w:val="28"/>
          <w:szCs w:val="28"/>
          <w:lang w:val="uk-UA"/>
        </w:rPr>
        <w:t>- продовжуються роботи з добудови Хриплинської ЗШ;</w:t>
      </w:r>
    </w:p>
    <w:p w:rsidR="00183E22" w:rsidRPr="00720DC2" w:rsidRDefault="00183E22" w:rsidP="00636220">
      <w:pPr>
        <w:pStyle w:val="a7"/>
        <w:spacing w:after="0"/>
        <w:ind w:left="0" w:firstLine="426"/>
        <w:jc w:val="both"/>
        <w:outlineLvl w:val="0"/>
        <w:rPr>
          <w:sz w:val="28"/>
          <w:szCs w:val="28"/>
          <w:lang w:val="uk-UA"/>
        </w:rPr>
      </w:pPr>
      <w:r w:rsidRPr="00720DC2">
        <w:rPr>
          <w:sz w:val="28"/>
          <w:szCs w:val="28"/>
          <w:lang w:val="uk-UA"/>
        </w:rPr>
        <w:lastRenderedPageBreak/>
        <w:t xml:space="preserve">- проведено капітальний ремонт приміщень у НВК </w:t>
      </w:r>
      <w:r w:rsidR="00D4778A" w:rsidRPr="00720DC2">
        <w:rPr>
          <w:sz w:val="28"/>
          <w:szCs w:val="28"/>
          <w:lang w:val="uk-UA"/>
        </w:rPr>
        <w:t>"</w:t>
      </w:r>
      <w:r w:rsidRPr="00720DC2">
        <w:rPr>
          <w:sz w:val="28"/>
          <w:szCs w:val="28"/>
          <w:lang w:val="uk-UA"/>
        </w:rPr>
        <w:t>Школа-гімназія №3</w:t>
      </w:r>
      <w:r w:rsidR="00D4778A" w:rsidRPr="00720DC2">
        <w:rPr>
          <w:sz w:val="28"/>
          <w:szCs w:val="28"/>
          <w:lang w:val="uk-UA"/>
        </w:rPr>
        <w:t>"</w:t>
      </w:r>
      <w:r w:rsidRPr="00720DC2">
        <w:rPr>
          <w:sz w:val="28"/>
          <w:szCs w:val="28"/>
          <w:lang w:val="uk-UA"/>
        </w:rPr>
        <w:t>, у 14-ти загальноосвітніх школах міста та у Микитинецькій ЗШ, Хриплинській ЗШ, Вовчинецькій ЗШ, ЗШС №3 ім.С.Русової;</w:t>
      </w:r>
    </w:p>
    <w:p w:rsidR="00183E22" w:rsidRPr="00720DC2" w:rsidRDefault="00183E22" w:rsidP="00636220">
      <w:pPr>
        <w:pStyle w:val="a7"/>
        <w:spacing w:after="0"/>
        <w:ind w:left="0" w:firstLine="426"/>
        <w:jc w:val="both"/>
        <w:outlineLvl w:val="0"/>
        <w:rPr>
          <w:sz w:val="28"/>
          <w:szCs w:val="28"/>
          <w:lang w:val="uk-UA"/>
        </w:rPr>
      </w:pPr>
      <w:r w:rsidRPr="00720DC2">
        <w:rPr>
          <w:sz w:val="28"/>
          <w:szCs w:val="28"/>
          <w:lang w:val="uk-UA"/>
        </w:rPr>
        <w:t>- проведено капітальний ремонт с</w:t>
      </w:r>
      <w:r w:rsidR="00854E38" w:rsidRPr="00720DC2">
        <w:rPr>
          <w:sz w:val="28"/>
          <w:szCs w:val="28"/>
          <w:lang w:val="uk-UA"/>
        </w:rPr>
        <w:t>истеми опалення Крихівецької ЗШ;</w:t>
      </w:r>
    </w:p>
    <w:p w:rsidR="00854E38" w:rsidRPr="00720DC2" w:rsidRDefault="00854E38" w:rsidP="00854E38">
      <w:pPr>
        <w:numPr>
          <w:ilvl w:val="0"/>
          <w:numId w:val="16"/>
        </w:numPr>
        <w:tabs>
          <w:tab w:val="clear" w:pos="1428"/>
          <w:tab w:val="num" w:pos="142"/>
        </w:tabs>
        <w:ind w:left="-142" w:firstLine="567"/>
        <w:jc w:val="both"/>
        <w:rPr>
          <w:rFonts w:cs="Times New Roman"/>
          <w:lang w:val="uk-UA"/>
        </w:rPr>
      </w:pPr>
      <w:r w:rsidRPr="00720DC2">
        <w:rPr>
          <w:rFonts w:cs="Times New Roman"/>
          <w:lang w:val="uk-UA"/>
        </w:rPr>
        <w:t>завершено капітальний ремонт приміщень у 6 закладах (ПМЛ, СШ №11, ЗШ №28, Вовчинецькій ЗШ, Хриплинській ЗШ, ЗШС №3, ЗШС ім. С. Русової); поточний ремонт приміщень у СШ №11;</w:t>
      </w:r>
    </w:p>
    <w:p w:rsidR="00854E38" w:rsidRPr="00720DC2" w:rsidRDefault="00854E38" w:rsidP="00854E38">
      <w:pPr>
        <w:numPr>
          <w:ilvl w:val="0"/>
          <w:numId w:val="16"/>
        </w:numPr>
        <w:tabs>
          <w:tab w:val="clear" w:pos="1428"/>
          <w:tab w:val="num" w:pos="142"/>
        </w:tabs>
        <w:ind w:left="-142" w:firstLine="567"/>
        <w:jc w:val="both"/>
        <w:rPr>
          <w:rFonts w:cs="Times New Roman"/>
          <w:lang w:val="uk-UA"/>
        </w:rPr>
      </w:pPr>
      <w:r w:rsidRPr="00720DC2">
        <w:rPr>
          <w:rFonts w:cs="Times New Roman"/>
          <w:lang w:val="uk-UA"/>
        </w:rPr>
        <w:t>здійснено капітальний рем</w:t>
      </w:r>
      <w:r w:rsidR="00FB074C">
        <w:rPr>
          <w:rFonts w:cs="Times New Roman"/>
          <w:lang w:val="uk-UA"/>
        </w:rPr>
        <w:t>онт харчоблоку у ЗШ №10, 12, 19;</w:t>
      </w:r>
    </w:p>
    <w:p w:rsidR="00854E38" w:rsidRPr="00720DC2" w:rsidRDefault="00854E38" w:rsidP="00854E38">
      <w:pPr>
        <w:numPr>
          <w:ilvl w:val="0"/>
          <w:numId w:val="16"/>
        </w:numPr>
        <w:tabs>
          <w:tab w:val="clear" w:pos="1428"/>
          <w:tab w:val="num" w:pos="142"/>
        </w:tabs>
        <w:ind w:left="-142" w:firstLine="567"/>
        <w:jc w:val="both"/>
        <w:rPr>
          <w:rFonts w:cs="Times New Roman"/>
          <w:lang w:val="uk-UA"/>
        </w:rPr>
      </w:pPr>
      <w:r w:rsidRPr="00720DC2">
        <w:rPr>
          <w:rFonts w:cs="Times New Roman"/>
          <w:lang w:val="uk-UA"/>
        </w:rPr>
        <w:t>проведено капітальний ремонт приміщення їдальні ЗШ №14, 24;</w:t>
      </w:r>
      <w:r w:rsidR="00F30F24">
        <w:rPr>
          <w:rFonts w:cs="Times New Roman"/>
          <w:lang w:val="uk-UA"/>
        </w:rPr>
        <w:t xml:space="preserve"> </w:t>
      </w:r>
      <w:r w:rsidRPr="00720DC2">
        <w:rPr>
          <w:rFonts w:cs="Times New Roman"/>
          <w:lang w:val="uk-UA"/>
        </w:rPr>
        <w:t xml:space="preserve">поточний ремонт приміщення їдальні НВК </w:t>
      </w:r>
      <w:r w:rsidR="00D4778A" w:rsidRPr="00720DC2">
        <w:rPr>
          <w:rFonts w:cs="Times New Roman"/>
          <w:lang w:val="uk-UA"/>
        </w:rPr>
        <w:t>"</w:t>
      </w:r>
      <w:r w:rsidRPr="00720DC2">
        <w:rPr>
          <w:rFonts w:cs="Times New Roman"/>
          <w:lang w:val="uk-UA"/>
        </w:rPr>
        <w:t>Школа-гімназія №3</w:t>
      </w:r>
      <w:r w:rsidR="00D4778A" w:rsidRPr="00720DC2">
        <w:rPr>
          <w:rFonts w:cs="Times New Roman"/>
          <w:lang w:val="uk-UA"/>
        </w:rPr>
        <w:t>"</w:t>
      </w:r>
      <w:r w:rsidR="00FB074C">
        <w:rPr>
          <w:rFonts w:cs="Times New Roman"/>
          <w:lang w:val="uk-UA"/>
        </w:rPr>
        <w:t>, ЗШ №16;</w:t>
      </w:r>
    </w:p>
    <w:p w:rsidR="00854E38" w:rsidRPr="00720DC2" w:rsidRDefault="00854E38" w:rsidP="00854E38">
      <w:pPr>
        <w:numPr>
          <w:ilvl w:val="0"/>
          <w:numId w:val="16"/>
        </w:numPr>
        <w:tabs>
          <w:tab w:val="clear" w:pos="1428"/>
          <w:tab w:val="num" w:pos="142"/>
        </w:tabs>
        <w:ind w:left="-142" w:firstLine="567"/>
        <w:jc w:val="both"/>
        <w:rPr>
          <w:rFonts w:cs="Times New Roman"/>
          <w:lang w:val="uk-UA"/>
        </w:rPr>
      </w:pPr>
      <w:r w:rsidRPr="00720DC2">
        <w:rPr>
          <w:rFonts w:cs="Times New Roman"/>
          <w:lang w:val="uk-UA"/>
        </w:rPr>
        <w:t xml:space="preserve">завершено капітальний ремонт підлоги ЗШ №3; поточний ремонт підлоги та сходів у  НВК </w:t>
      </w:r>
      <w:r w:rsidR="00D4778A" w:rsidRPr="00720DC2">
        <w:rPr>
          <w:rFonts w:cs="Times New Roman"/>
          <w:lang w:val="uk-UA"/>
        </w:rPr>
        <w:t>"</w:t>
      </w:r>
      <w:r w:rsidRPr="00720DC2">
        <w:rPr>
          <w:rFonts w:cs="Times New Roman"/>
          <w:lang w:val="uk-UA"/>
        </w:rPr>
        <w:t>Школа-гімназія №3</w:t>
      </w:r>
      <w:r w:rsidR="00D4778A" w:rsidRPr="00720DC2">
        <w:rPr>
          <w:rFonts w:cs="Times New Roman"/>
          <w:lang w:val="uk-UA"/>
        </w:rPr>
        <w:t>"</w:t>
      </w:r>
      <w:r w:rsidR="00FB074C">
        <w:rPr>
          <w:rFonts w:cs="Times New Roman"/>
          <w:lang w:val="uk-UA"/>
        </w:rPr>
        <w:t>;</w:t>
      </w:r>
    </w:p>
    <w:p w:rsidR="00854E38" w:rsidRPr="00720DC2" w:rsidRDefault="00854E38" w:rsidP="00854E38">
      <w:pPr>
        <w:pStyle w:val="af1"/>
        <w:numPr>
          <w:ilvl w:val="0"/>
          <w:numId w:val="16"/>
        </w:numPr>
        <w:tabs>
          <w:tab w:val="clear" w:pos="1428"/>
          <w:tab w:val="num" w:pos="142"/>
        </w:tabs>
        <w:ind w:left="0" w:firstLine="426"/>
        <w:jc w:val="both"/>
        <w:rPr>
          <w:sz w:val="28"/>
          <w:szCs w:val="28"/>
          <w:lang w:val="uk-UA"/>
        </w:rPr>
      </w:pPr>
      <w:r w:rsidRPr="00720DC2">
        <w:rPr>
          <w:sz w:val="28"/>
          <w:szCs w:val="28"/>
          <w:lang w:val="uk-UA"/>
        </w:rPr>
        <w:t>завершено  капітальний ремонт даху  СШ №5, Молодшої школи ім. Софії Русової; поточний ремонт покрівлі ЗШ №25.</w:t>
      </w:r>
    </w:p>
    <w:p w:rsidR="00F26048" w:rsidRPr="00720DC2" w:rsidRDefault="00183E22" w:rsidP="00F26048">
      <w:pPr>
        <w:ind w:left="-142" w:firstLine="851"/>
        <w:jc w:val="both"/>
        <w:rPr>
          <w:rFonts w:cs="Times New Roman"/>
          <w:lang w:val="uk-UA"/>
        </w:rPr>
      </w:pPr>
      <w:r w:rsidRPr="00720DC2">
        <w:rPr>
          <w:rFonts w:eastAsia="Times New Roman" w:cs="Times New Roman"/>
          <w:lang w:val="uk-UA" w:eastAsia="ru-RU"/>
        </w:rPr>
        <w:t xml:space="preserve">Розроблено проектно-кошторисну документацію на будівництво навчально-виховного комплексу ІІ-го пускового комплексу  ЗОШ №6 в м-ні </w:t>
      </w:r>
      <w:r w:rsidR="00D4778A" w:rsidRPr="00720DC2">
        <w:rPr>
          <w:rFonts w:eastAsia="Times New Roman" w:cs="Times New Roman"/>
          <w:lang w:val="uk-UA" w:eastAsia="ru-RU"/>
        </w:rPr>
        <w:t>"</w:t>
      </w:r>
      <w:r w:rsidRPr="00720DC2">
        <w:rPr>
          <w:rFonts w:eastAsia="Times New Roman" w:cs="Times New Roman"/>
          <w:lang w:val="uk-UA" w:eastAsia="ru-RU"/>
        </w:rPr>
        <w:t>Опришівці</w:t>
      </w:r>
      <w:r w:rsidR="00C700E4">
        <w:rPr>
          <w:rFonts w:eastAsia="Times New Roman" w:cs="Times New Roman"/>
          <w:lang w:val="uk-UA" w:eastAsia="ru-RU"/>
        </w:rPr>
        <w:t>"</w:t>
      </w:r>
      <w:r w:rsidRPr="00720DC2">
        <w:rPr>
          <w:rFonts w:eastAsia="Times New Roman" w:cs="Times New Roman"/>
          <w:lang w:val="uk-UA" w:eastAsia="ru-RU"/>
        </w:rPr>
        <w:t>.</w:t>
      </w:r>
      <w:r w:rsidR="00F26048" w:rsidRPr="00720DC2">
        <w:rPr>
          <w:rFonts w:cs="Times New Roman"/>
          <w:lang w:val="uk-UA"/>
        </w:rPr>
        <w:t xml:space="preserve"> </w:t>
      </w:r>
    </w:p>
    <w:p w:rsidR="00F26048" w:rsidRPr="00720DC2" w:rsidRDefault="00F26048" w:rsidP="00F26048">
      <w:pPr>
        <w:ind w:left="-142" w:firstLine="851"/>
        <w:jc w:val="both"/>
        <w:rPr>
          <w:rFonts w:cs="Times New Roman"/>
          <w:lang w:val="uk-UA"/>
        </w:rPr>
      </w:pPr>
      <w:r w:rsidRPr="00720DC2">
        <w:rPr>
          <w:rFonts w:cs="Times New Roman"/>
          <w:lang w:val="uk-UA"/>
        </w:rPr>
        <w:t xml:space="preserve">Завершено капітальний ремонт спортивного майданчика із влаштуванням штучного покриття в ЗШ №15,19, 22, 25. Завершуються роботи з капітального ремонту спортивного майданчика ПМЛ. Розпочато капітальний ремонт спортивного майданчика ПЗОВ </w:t>
      </w:r>
      <w:r w:rsidR="00D4778A" w:rsidRPr="00720DC2">
        <w:rPr>
          <w:rFonts w:cs="Times New Roman"/>
          <w:lang w:val="uk-UA"/>
        </w:rPr>
        <w:t>"</w:t>
      </w:r>
      <w:r w:rsidRPr="00720DC2">
        <w:rPr>
          <w:rFonts w:cs="Times New Roman"/>
          <w:lang w:val="uk-UA"/>
        </w:rPr>
        <w:t>Лімниця</w:t>
      </w:r>
      <w:r w:rsidR="00D4778A" w:rsidRPr="00720DC2">
        <w:rPr>
          <w:rFonts w:cs="Times New Roman"/>
          <w:lang w:val="uk-UA"/>
        </w:rPr>
        <w:t>"</w:t>
      </w:r>
      <w:r w:rsidRPr="00720DC2">
        <w:rPr>
          <w:rFonts w:cs="Times New Roman"/>
          <w:lang w:val="uk-UA"/>
        </w:rPr>
        <w:t xml:space="preserve"> та ЗШ №18.</w:t>
      </w:r>
    </w:p>
    <w:p w:rsidR="00183E22" w:rsidRPr="00720DC2" w:rsidRDefault="00183E22" w:rsidP="00183E22">
      <w:pPr>
        <w:pStyle w:val="a7"/>
        <w:spacing w:after="0"/>
        <w:ind w:left="0" w:firstLine="709"/>
        <w:jc w:val="both"/>
        <w:outlineLvl w:val="0"/>
        <w:rPr>
          <w:sz w:val="28"/>
          <w:szCs w:val="28"/>
          <w:lang w:val="uk-UA"/>
        </w:rPr>
      </w:pPr>
      <w:r w:rsidRPr="00720DC2">
        <w:rPr>
          <w:sz w:val="28"/>
          <w:szCs w:val="28"/>
          <w:lang w:val="uk-UA"/>
        </w:rPr>
        <w:t xml:space="preserve">З метою реалізації основних положень Закону України </w:t>
      </w:r>
      <w:r w:rsidR="00D4778A" w:rsidRPr="00720DC2">
        <w:rPr>
          <w:sz w:val="28"/>
          <w:szCs w:val="28"/>
          <w:lang w:val="uk-UA"/>
        </w:rPr>
        <w:t>"</w:t>
      </w:r>
      <w:r w:rsidRPr="00720DC2">
        <w:rPr>
          <w:sz w:val="28"/>
          <w:szCs w:val="28"/>
          <w:lang w:val="uk-UA"/>
        </w:rPr>
        <w:t>Про освіту</w:t>
      </w:r>
      <w:r w:rsidR="00D4778A" w:rsidRPr="00720DC2">
        <w:rPr>
          <w:sz w:val="28"/>
          <w:szCs w:val="28"/>
          <w:lang w:val="uk-UA"/>
        </w:rPr>
        <w:t>"</w:t>
      </w:r>
      <w:r w:rsidRPr="00720DC2">
        <w:rPr>
          <w:sz w:val="28"/>
          <w:szCs w:val="28"/>
          <w:lang w:val="uk-UA"/>
        </w:rPr>
        <w:t xml:space="preserve">, програми </w:t>
      </w:r>
      <w:r w:rsidR="00D4778A" w:rsidRPr="00720DC2">
        <w:rPr>
          <w:sz w:val="28"/>
          <w:szCs w:val="28"/>
          <w:lang w:val="uk-UA"/>
        </w:rPr>
        <w:t>"</w:t>
      </w:r>
      <w:r w:rsidRPr="00720DC2">
        <w:rPr>
          <w:sz w:val="28"/>
          <w:szCs w:val="28"/>
          <w:lang w:val="uk-UA"/>
        </w:rPr>
        <w:t>Нова українська школа</w:t>
      </w:r>
      <w:r w:rsidR="00D4778A" w:rsidRPr="00720DC2">
        <w:rPr>
          <w:sz w:val="28"/>
          <w:szCs w:val="28"/>
          <w:lang w:val="uk-UA"/>
        </w:rPr>
        <w:t>"</w:t>
      </w:r>
      <w:r w:rsidRPr="00720DC2">
        <w:rPr>
          <w:sz w:val="28"/>
          <w:szCs w:val="28"/>
          <w:lang w:val="uk-UA"/>
        </w:rPr>
        <w:t xml:space="preserve"> затверджено план заходів щодо реалізації концепції </w:t>
      </w:r>
      <w:r w:rsidR="00D4778A" w:rsidRPr="00720DC2">
        <w:rPr>
          <w:sz w:val="28"/>
          <w:szCs w:val="28"/>
          <w:lang w:val="uk-UA"/>
        </w:rPr>
        <w:t>"</w:t>
      </w:r>
      <w:r w:rsidRPr="00720DC2">
        <w:rPr>
          <w:sz w:val="28"/>
          <w:szCs w:val="28"/>
          <w:lang w:val="uk-UA"/>
        </w:rPr>
        <w:t>Нової української школи</w:t>
      </w:r>
      <w:r w:rsidR="00D4778A" w:rsidRPr="00720DC2">
        <w:rPr>
          <w:sz w:val="28"/>
          <w:szCs w:val="28"/>
          <w:lang w:val="uk-UA"/>
        </w:rPr>
        <w:t>"</w:t>
      </w:r>
      <w:r w:rsidRPr="00720DC2">
        <w:rPr>
          <w:sz w:val="28"/>
          <w:szCs w:val="28"/>
          <w:lang w:val="uk-UA"/>
        </w:rPr>
        <w:t xml:space="preserve"> у закладах загальної середньої освіти м. Івано-Франківська. З 1 вересня 2018 року 125 перших класів розпочали працювати за новим Державним стандартом.</w:t>
      </w:r>
    </w:p>
    <w:p w:rsidR="00183E22" w:rsidRPr="00720DC2" w:rsidRDefault="00183E22" w:rsidP="00183E22">
      <w:pPr>
        <w:ind w:firstLine="708"/>
        <w:jc w:val="both"/>
        <w:rPr>
          <w:rFonts w:eastAsia="Times New Roman" w:cs="Times New Roman"/>
          <w:lang w:val="uk-UA" w:eastAsia="ru-RU"/>
        </w:rPr>
      </w:pPr>
      <w:r w:rsidRPr="00720DC2">
        <w:rPr>
          <w:lang w:val="uk-UA"/>
        </w:rPr>
        <w:t>Для створення нового освітнього середовища, зокрема закупівлі дидактичних матеріалів для учнів початкових класів, із Державного бюджету ви</w:t>
      </w:r>
      <w:r w:rsidR="008D2095">
        <w:rPr>
          <w:lang w:val="uk-UA"/>
        </w:rPr>
        <w:t xml:space="preserve">ділена субвенція у сумі 1,5 млн </w:t>
      </w:r>
      <w:r w:rsidRPr="00720DC2">
        <w:rPr>
          <w:lang w:val="uk-UA"/>
        </w:rPr>
        <w:t>грн. На оснащення початкових класів дидактичним матеріалом, меблями та мультимедійним обладнанням із міського бюджету ви</w:t>
      </w:r>
      <w:r w:rsidR="008D2095">
        <w:rPr>
          <w:lang w:val="uk-UA"/>
        </w:rPr>
        <w:t xml:space="preserve">ділено 24 млн </w:t>
      </w:r>
      <w:r w:rsidRPr="00720DC2">
        <w:rPr>
          <w:lang w:val="uk-UA"/>
        </w:rPr>
        <w:t>грн.</w:t>
      </w:r>
      <w:r w:rsidRPr="00720DC2">
        <w:rPr>
          <w:rFonts w:eastAsia="Times New Roman" w:cs="Times New Roman"/>
          <w:lang w:val="uk-UA" w:eastAsia="ru-RU"/>
        </w:rPr>
        <w:t xml:space="preserve"> </w:t>
      </w:r>
    </w:p>
    <w:p w:rsidR="00183E22" w:rsidRPr="00720DC2" w:rsidRDefault="00183E22" w:rsidP="00183E22">
      <w:pPr>
        <w:ind w:firstLine="708"/>
        <w:jc w:val="both"/>
        <w:rPr>
          <w:rFonts w:eastAsia="Times New Roman" w:cs="Times New Roman"/>
          <w:highlight w:val="yellow"/>
          <w:lang w:val="uk-UA" w:eastAsia="ru-RU"/>
        </w:rPr>
      </w:pPr>
    </w:p>
    <w:p w:rsidR="00C611CD" w:rsidRPr="00720DC2" w:rsidRDefault="00C611CD" w:rsidP="00C611CD">
      <w:pPr>
        <w:autoSpaceDN w:val="0"/>
        <w:jc w:val="both"/>
        <w:rPr>
          <w:i/>
          <w:lang w:val="uk-UA"/>
        </w:rPr>
      </w:pPr>
      <w:r w:rsidRPr="00720DC2">
        <w:rPr>
          <w:i/>
          <w:lang w:val="uk-UA"/>
        </w:rPr>
        <w:t>Кількісні та якісні показники ефективності реалізації:</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134"/>
        <w:gridCol w:w="1134"/>
        <w:gridCol w:w="1418"/>
      </w:tblGrid>
      <w:tr w:rsidR="00C611CD" w:rsidRPr="00720DC2" w:rsidTr="0002754B">
        <w:tc>
          <w:tcPr>
            <w:tcW w:w="5954" w:type="dxa"/>
            <w:shd w:val="clear" w:color="auto" w:fill="auto"/>
            <w:vAlign w:val="center"/>
          </w:tcPr>
          <w:p w:rsidR="00C611CD" w:rsidRPr="00720DC2" w:rsidRDefault="00C611CD" w:rsidP="00F30F24">
            <w:pPr>
              <w:jc w:val="center"/>
              <w:rPr>
                <w:b/>
                <w:sz w:val="24"/>
                <w:szCs w:val="24"/>
                <w:lang w:val="uk-UA"/>
              </w:rPr>
            </w:pPr>
            <w:r w:rsidRPr="00720DC2">
              <w:rPr>
                <w:b/>
                <w:sz w:val="24"/>
                <w:szCs w:val="24"/>
                <w:lang w:val="uk-UA"/>
              </w:rPr>
              <w:t>Показники</w:t>
            </w:r>
          </w:p>
        </w:tc>
        <w:tc>
          <w:tcPr>
            <w:tcW w:w="1134" w:type="dxa"/>
            <w:shd w:val="clear" w:color="auto" w:fill="auto"/>
            <w:vAlign w:val="center"/>
          </w:tcPr>
          <w:p w:rsidR="00C611CD" w:rsidRPr="00720DC2" w:rsidRDefault="00C611CD" w:rsidP="00F30F24">
            <w:pPr>
              <w:jc w:val="center"/>
              <w:rPr>
                <w:b/>
                <w:sz w:val="24"/>
                <w:szCs w:val="24"/>
                <w:lang w:val="uk-UA"/>
              </w:rPr>
            </w:pPr>
            <w:r w:rsidRPr="00720DC2">
              <w:rPr>
                <w:b/>
                <w:sz w:val="24"/>
                <w:szCs w:val="24"/>
                <w:lang w:val="uk-UA"/>
              </w:rPr>
              <w:t>Одиниця виміру</w:t>
            </w:r>
          </w:p>
        </w:tc>
        <w:tc>
          <w:tcPr>
            <w:tcW w:w="1134" w:type="dxa"/>
            <w:vAlign w:val="center"/>
          </w:tcPr>
          <w:p w:rsidR="00C611CD" w:rsidRPr="00720DC2" w:rsidRDefault="00F30F24" w:rsidP="00F30F24">
            <w:pPr>
              <w:jc w:val="center"/>
              <w:rPr>
                <w:b/>
                <w:sz w:val="24"/>
                <w:szCs w:val="24"/>
                <w:lang w:val="uk-UA"/>
              </w:rPr>
            </w:pPr>
            <w:r>
              <w:rPr>
                <w:b/>
                <w:sz w:val="24"/>
                <w:szCs w:val="24"/>
                <w:lang w:val="uk-UA"/>
              </w:rPr>
              <w:t>2017р.</w:t>
            </w:r>
          </w:p>
        </w:tc>
        <w:tc>
          <w:tcPr>
            <w:tcW w:w="1418" w:type="dxa"/>
            <w:vAlign w:val="center"/>
          </w:tcPr>
          <w:p w:rsidR="00C611CD" w:rsidRPr="00720DC2" w:rsidRDefault="00F30F24" w:rsidP="00F30F24">
            <w:pPr>
              <w:jc w:val="center"/>
              <w:rPr>
                <w:b/>
                <w:sz w:val="24"/>
                <w:szCs w:val="24"/>
                <w:lang w:val="uk-UA"/>
              </w:rPr>
            </w:pPr>
            <w:r>
              <w:rPr>
                <w:b/>
                <w:sz w:val="24"/>
                <w:szCs w:val="24"/>
                <w:lang w:val="uk-UA"/>
              </w:rPr>
              <w:t>2018р.</w:t>
            </w: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Кількість дошкільних навчальних закладів</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одиниць</w:t>
            </w:r>
          </w:p>
        </w:tc>
        <w:tc>
          <w:tcPr>
            <w:tcW w:w="1134" w:type="dxa"/>
          </w:tcPr>
          <w:p w:rsidR="00C611CD" w:rsidRPr="00720DC2" w:rsidRDefault="00C611CD" w:rsidP="00523CDB">
            <w:pPr>
              <w:jc w:val="center"/>
              <w:rPr>
                <w:sz w:val="24"/>
                <w:szCs w:val="24"/>
                <w:lang w:val="uk-UA"/>
              </w:rPr>
            </w:pPr>
            <w:r w:rsidRPr="00720DC2">
              <w:rPr>
                <w:sz w:val="24"/>
                <w:szCs w:val="24"/>
                <w:lang w:val="uk-UA"/>
              </w:rPr>
              <w:t>40</w:t>
            </w:r>
          </w:p>
        </w:tc>
        <w:tc>
          <w:tcPr>
            <w:tcW w:w="1418" w:type="dxa"/>
          </w:tcPr>
          <w:p w:rsidR="00C611CD" w:rsidRPr="00720DC2" w:rsidRDefault="00C611CD" w:rsidP="00523CDB">
            <w:pPr>
              <w:jc w:val="center"/>
              <w:rPr>
                <w:sz w:val="24"/>
                <w:szCs w:val="24"/>
                <w:lang w:val="uk-UA"/>
              </w:rPr>
            </w:pPr>
            <w:r w:rsidRPr="00720DC2">
              <w:rPr>
                <w:sz w:val="24"/>
                <w:szCs w:val="24"/>
                <w:lang w:val="uk-UA"/>
              </w:rPr>
              <w:t>41</w:t>
            </w: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Кількість дітей у дошкільних закладах</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осіб</w:t>
            </w:r>
          </w:p>
        </w:tc>
        <w:tc>
          <w:tcPr>
            <w:tcW w:w="1134" w:type="dxa"/>
          </w:tcPr>
          <w:p w:rsidR="00C611CD" w:rsidRPr="00720DC2" w:rsidRDefault="00C611CD" w:rsidP="00523CDB">
            <w:pPr>
              <w:jc w:val="center"/>
              <w:rPr>
                <w:sz w:val="24"/>
                <w:szCs w:val="24"/>
                <w:lang w:val="uk-UA"/>
              </w:rPr>
            </w:pPr>
            <w:r w:rsidRPr="00720DC2">
              <w:rPr>
                <w:sz w:val="24"/>
                <w:szCs w:val="24"/>
                <w:lang w:val="uk-UA"/>
              </w:rPr>
              <w:t>9</w:t>
            </w:r>
            <w:r w:rsidR="009B0966" w:rsidRPr="00720DC2">
              <w:rPr>
                <w:sz w:val="24"/>
                <w:szCs w:val="24"/>
                <w:lang w:val="uk-UA"/>
              </w:rPr>
              <w:t xml:space="preserve"> </w:t>
            </w:r>
            <w:r w:rsidRPr="00720DC2">
              <w:rPr>
                <w:sz w:val="24"/>
                <w:szCs w:val="24"/>
                <w:lang w:val="uk-UA"/>
              </w:rPr>
              <w:t>750</w:t>
            </w:r>
          </w:p>
        </w:tc>
        <w:tc>
          <w:tcPr>
            <w:tcW w:w="1418" w:type="dxa"/>
          </w:tcPr>
          <w:p w:rsidR="00C611CD" w:rsidRPr="00720DC2" w:rsidRDefault="00C611CD" w:rsidP="00523CDB">
            <w:pPr>
              <w:jc w:val="center"/>
              <w:rPr>
                <w:sz w:val="24"/>
                <w:szCs w:val="24"/>
                <w:lang w:val="uk-UA"/>
              </w:rPr>
            </w:pPr>
            <w:r w:rsidRPr="00720DC2">
              <w:rPr>
                <w:sz w:val="24"/>
                <w:szCs w:val="24"/>
                <w:lang w:val="uk-UA"/>
              </w:rPr>
              <w:t>9</w:t>
            </w:r>
            <w:r w:rsidR="009B0966" w:rsidRPr="00720DC2">
              <w:rPr>
                <w:sz w:val="24"/>
                <w:szCs w:val="24"/>
                <w:lang w:val="uk-UA"/>
              </w:rPr>
              <w:t xml:space="preserve"> </w:t>
            </w:r>
            <w:r w:rsidRPr="00720DC2">
              <w:rPr>
                <w:sz w:val="24"/>
                <w:szCs w:val="24"/>
                <w:lang w:val="uk-UA"/>
              </w:rPr>
              <w:t>788</w:t>
            </w: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Кількість місць у дошкільних закладах</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місць</w:t>
            </w:r>
          </w:p>
        </w:tc>
        <w:tc>
          <w:tcPr>
            <w:tcW w:w="1134" w:type="dxa"/>
          </w:tcPr>
          <w:p w:rsidR="00C611CD" w:rsidRPr="00720DC2" w:rsidRDefault="00C611CD" w:rsidP="00523CDB">
            <w:pPr>
              <w:jc w:val="center"/>
              <w:rPr>
                <w:sz w:val="24"/>
                <w:szCs w:val="24"/>
                <w:lang w:val="uk-UA"/>
              </w:rPr>
            </w:pPr>
            <w:r w:rsidRPr="00720DC2">
              <w:rPr>
                <w:sz w:val="24"/>
                <w:szCs w:val="24"/>
                <w:lang w:val="uk-UA"/>
              </w:rPr>
              <w:t>6</w:t>
            </w:r>
            <w:r w:rsidR="009B0966" w:rsidRPr="00720DC2">
              <w:rPr>
                <w:sz w:val="24"/>
                <w:szCs w:val="24"/>
                <w:lang w:val="uk-UA"/>
              </w:rPr>
              <w:t xml:space="preserve"> </w:t>
            </w:r>
            <w:r w:rsidRPr="00720DC2">
              <w:rPr>
                <w:sz w:val="24"/>
                <w:szCs w:val="24"/>
                <w:lang w:val="uk-UA"/>
              </w:rPr>
              <w:t>326</w:t>
            </w:r>
          </w:p>
        </w:tc>
        <w:tc>
          <w:tcPr>
            <w:tcW w:w="1418" w:type="dxa"/>
          </w:tcPr>
          <w:p w:rsidR="00C611CD" w:rsidRPr="00720DC2" w:rsidRDefault="00A87E72" w:rsidP="00523CDB">
            <w:pPr>
              <w:jc w:val="center"/>
              <w:rPr>
                <w:sz w:val="24"/>
                <w:szCs w:val="24"/>
                <w:lang w:val="uk-UA"/>
              </w:rPr>
            </w:pPr>
            <w:r w:rsidRPr="00720DC2">
              <w:rPr>
                <w:sz w:val="24"/>
                <w:szCs w:val="24"/>
                <w:lang w:val="uk-UA"/>
              </w:rPr>
              <w:t>6</w:t>
            </w:r>
            <w:r w:rsidR="009B0966" w:rsidRPr="00720DC2">
              <w:rPr>
                <w:sz w:val="24"/>
                <w:szCs w:val="24"/>
                <w:lang w:val="uk-UA"/>
              </w:rPr>
              <w:t xml:space="preserve"> </w:t>
            </w:r>
            <w:r w:rsidRPr="00720DC2">
              <w:rPr>
                <w:sz w:val="24"/>
                <w:szCs w:val="24"/>
                <w:lang w:val="uk-UA"/>
              </w:rPr>
              <w:t>571</w:t>
            </w: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Охоплення дітей дошкільними навчальними закладами</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w:t>
            </w:r>
          </w:p>
        </w:tc>
        <w:tc>
          <w:tcPr>
            <w:tcW w:w="1134" w:type="dxa"/>
          </w:tcPr>
          <w:p w:rsidR="00C611CD" w:rsidRPr="00720DC2" w:rsidRDefault="00C611CD" w:rsidP="00523CDB">
            <w:pPr>
              <w:jc w:val="center"/>
              <w:rPr>
                <w:sz w:val="24"/>
                <w:szCs w:val="24"/>
                <w:lang w:val="uk-UA"/>
              </w:rPr>
            </w:pPr>
          </w:p>
        </w:tc>
        <w:tc>
          <w:tcPr>
            <w:tcW w:w="1418" w:type="dxa"/>
          </w:tcPr>
          <w:p w:rsidR="00C611CD" w:rsidRPr="00720DC2" w:rsidRDefault="00C611CD" w:rsidP="00523CDB">
            <w:pPr>
              <w:jc w:val="center"/>
              <w:rPr>
                <w:sz w:val="24"/>
                <w:szCs w:val="24"/>
                <w:lang w:val="uk-UA"/>
              </w:rPr>
            </w:pP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Кількість загальноосвітніх навчальних закладів</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одиниць</w:t>
            </w:r>
          </w:p>
        </w:tc>
        <w:tc>
          <w:tcPr>
            <w:tcW w:w="1134" w:type="dxa"/>
          </w:tcPr>
          <w:p w:rsidR="00C611CD" w:rsidRPr="00720DC2" w:rsidRDefault="00C611CD" w:rsidP="00523CDB">
            <w:pPr>
              <w:jc w:val="center"/>
              <w:rPr>
                <w:sz w:val="24"/>
                <w:szCs w:val="24"/>
                <w:lang w:val="uk-UA"/>
              </w:rPr>
            </w:pPr>
            <w:r w:rsidRPr="00720DC2">
              <w:rPr>
                <w:sz w:val="24"/>
                <w:szCs w:val="24"/>
                <w:lang w:val="uk-UA"/>
              </w:rPr>
              <w:t>41</w:t>
            </w:r>
          </w:p>
        </w:tc>
        <w:tc>
          <w:tcPr>
            <w:tcW w:w="1418" w:type="dxa"/>
          </w:tcPr>
          <w:p w:rsidR="00C611CD" w:rsidRPr="00720DC2" w:rsidRDefault="009B0966" w:rsidP="00523CDB">
            <w:pPr>
              <w:jc w:val="center"/>
              <w:rPr>
                <w:sz w:val="24"/>
                <w:szCs w:val="24"/>
                <w:lang w:val="uk-UA"/>
              </w:rPr>
            </w:pPr>
            <w:r w:rsidRPr="00720DC2">
              <w:rPr>
                <w:sz w:val="24"/>
                <w:szCs w:val="24"/>
                <w:lang w:val="uk-UA"/>
              </w:rPr>
              <w:t>42</w:t>
            </w: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Кількість учнів у загальноосвітніх навчальних закладах</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осіб</w:t>
            </w:r>
          </w:p>
        </w:tc>
        <w:tc>
          <w:tcPr>
            <w:tcW w:w="1134" w:type="dxa"/>
          </w:tcPr>
          <w:p w:rsidR="00C611CD" w:rsidRPr="00720DC2" w:rsidRDefault="00C611CD" w:rsidP="00523CDB">
            <w:pPr>
              <w:jc w:val="center"/>
              <w:rPr>
                <w:sz w:val="24"/>
                <w:szCs w:val="24"/>
                <w:lang w:val="uk-UA"/>
              </w:rPr>
            </w:pPr>
            <w:r w:rsidRPr="00720DC2">
              <w:rPr>
                <w:sz w:val="24"/>
                <w:szCs w:val="24"/>
                <w:lang w:val="uk-UA"/>
              </w:rPr>
              <w:t>26</w:t>
            </w:r>
            <w:r w:rsidR="009B0966" w:rsidRPr="00720DC2">
              <w:rPr>
                <w:sz w:val="24"/>
                <w:szCs w:val="24"/>
                <w:lang w:val="uk-UA"/>
              </w:rPr>
              <w:t xml:space="preserve"> </w:t>
            </w:r>
            <w:r w:rsidRPr="00720DC2">
              <w:rPr>
                <w:sz w:val="24"/>
                <w:szCs w:val="24"/>
                <w:lang w:val="uk-UA"/>
              </w:rPr>
              <w:t>523</w:t>
            </w:r>
          </w:p>
        </w:tc>
        <w:tc>
          <w:tcPr>
            <w:tcW w:w="1418" w:type="dxa"/>
          </w:tcPr>
          <w:p w:rsidR="00C611CD" w:rsidRPr="00720DC2" w:rsidRDefault="009B0966" w:rsidP="00523CDB">
            <w:pPr>
              <w:jc w:val="center"/>
              <w:rPr>
                <w:sz w:val="24"/>
                <w:szCs w:val="24"/>
                <w:lang w:val="uk-UA"/>
              </w:rPr>
            </w:pPr>
            <w:r w:rsidRPr="00720DC2">
              <w:rPr>
                <w:sz w:val="24"/>
                <w:szCs w:val="24"/>
                <w:lang w:val="uk-UA"/>
              </w:rPr>
              <w:t>28 045</w:t>
            </w: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Кількість місць у загальноосвітніх навчальних закладах</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одиниць</w:t>
            </w:r>
          </w:p>
        </w:tc>
        <w:tc>
          <w:tcPr>
            <w:tcW w:w="1134" w:type="dxa"/>
          </w:tcPr>
          <w:p w:rsidR="00C611CD" w:rsidRPr="00720DC2" w:rsidRDefault="00C611CD" w:rsidP="00523CDB">
            <w:pPr>
              <w:jc w:val="center"/>
              <w:rPr>
                <w:sz w:val="24"/>
                <w:szCs w:val="24"/>
                <w:lang w:val="uk-UA"/>
              </w:rPr>
            </w:pPr>
            <w:r w:rsidRPr="00720DC2">
              <w:rPr>
                <w:sz w:val="24"/>
                <w:szCs w:val="24"/>
                <w:lang w:val="uk-UA"/>
              </w:rPr>
              <w:t>31</w:t>
            </w:r>
            <w:r w:rsidR="009B0966" w:rsidRPr="00720DC2">
              <w:rPr>
                <w:sz w:val="24"/>
                <w:szCs w:val="24"/>
                <w:lang w:val="uk-UA"/>
              </w:rPr>
              <w:t xml:space="preserve"> </w:t>
            </w:r>
            <w:r w:rsidRPr="00720DC2">
              <w:rPr>
                <w:sz w:val="24"/>
                <w:szCs w:val="24"/>
                <w:lang w:val="uk-UA"/>
              </w:rPr>
              <w:t>287</w:t>
            </w:r>
          </w:p>
        </w:tc>
        <w:tc>
          <w:tcPr>
            <w:tcW w:w="1418" w:type="dxa"/>
          </w:tcPr>
          <w:p w:rsidR="00C611CD" w:rsidRPr="00720DC2" w:rsidRDefault="009B0966" w:rsidP="00523CDB">
            <w:pPr>
              <w:jc w:val="center"/>
              <w:rPr>
                <w:sz w:val="24"/>
                <w:szCs w:val="24"/>
                <w:lang w:val="uk-UA"/>
              </w:rPr>
            </w:pPr>
            <w:r w:rsidRPr="00720DC2">
              <w:rPr>
                <w:sz w:val="24"/>
                <w:szCs w:val="24"/>
                <w:lang w:val="uk-UA"/>
              </w:rPr>
              <w:t>31 287</w:t>
            </w: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Школи вечірньої форми навчання</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одиниць</w:t>
            </w:r>
          </w:p>
        </w:tc>
        <w:tc>
          <w:tcPr>
            <w:tcW w:w="1134" w:type="dxa"/>
          </w:tcPr>
          <w:p w:rsidR="00C611CD" w:rsidRPr="00720DC2" w:rsidRDefault="00C611CD" w:rsidP="00523CDB">
            <w:pPr>
              <w:jc w:val="center"/>
              <w:rPr>
                <w:sz w:val="24"/>
                <w:szCs w:val="24"/>
                <w:lang w:val="uk-UA"/>
              </w:rPr>
            </w:pPr>
            <w:r w:rsidRPr="00720DC2">
              <w:rPr>
                <w:sz w:val="24"/>
                <w:szCs w:val="24"/>
                <w:lang w:val="uk-UA"/>
              </w:rPr>
              <w:t>1</w:t>
            </w:r>
          </w:p>
        </w:tc>
        <w:tc>
          <w:tcPr>
            <w:tcW w:w="1418" w:type="dxa"/>
          </w:tcPr>
          <w:p w:rsidR="00C611CD" w:rsidRPr="00720DC2" w:rsidRDefault="009B0966" w:rsidP="00523CDB">
            <w:pPr>
              <w:jc w:val="center"/>
              <w:rPr>
                <w:sz w:val="24"/>
                <w:szCs w:val="24"/>
                <w:lang w:val="uk-UA"/>
              </w:rPr>
            </w:pPr>
            <w:r w:rsidRPr="00720DC2">
              <w:rPr>
                <w:sz w:val="24"/>
                <w:szCs w:val="24"/>
                <w:lang w:val="uk-UA"/>
              </w:rPr>
              <w:t>1</w:t>
            </w:r>
          </w:p>
        </w:tc>
      </w:tr>
      <w:tr w:rsidR="00C611CD" w:rsidRPr="00720DC2" w:rsidTr="0002754B">
        <w:trPr>
          <w:trHeight w:val="295"/>
        </w:trPr>
        <w:tc>
          <w:tcPr>
            <w:tcW w:w="5954" w:type="dxa"/>
            <w:shd w:val="clear" w:color="auto" w:fill="auto"/>
          </w:tcPr>
          <w:p w:rsidR="00C611CD" w:rsidRPr="00720DC2" w:rsidRDefault="00C611CD" w:rsidP="0002754B">
            <w:pPr>
              <w:jc w:val="both"/>
              <w:rPr>
                <w:sz w:val="24"/>
                <w:szCs w:val="24"/>
                <w:lang w:val="uk-UA"/>
              </w:rPr>
            </w:pPr>
            <w:r w:rsidRPr="00720DC2">
              <w:rPr>
                <w:sz w:val="24"/>
                <w:szCs w:val="24"/>
                <w:lang w:val="uk-UA"/>
              </w:rPr>
              <w:t xml:space="preserve">Кількість учнів </w:t>
            </w:r>
            <w:r w:rsidR="009B0966" w:rsidRPr="00720DC2">
              <w:rPr>
                <w:sz w:val="24"/>
                <w:szCs w:val="24"/>
                <w:lang w:val="uk-UA"/>
              </w:rPr>
              <w:t>у</w:t>
            </w:r>
            <w:r w:rsidRPr="00720DC2">
              <w:rPr>
                <w:sz w:val="24"/>
                <w:szCs w:val="24"/>
                <w:lang w:val="uk-UA"/>
              </w:rPr>
              <w:t xml:space="preserve"> школі вечірньої</w:t>
            </w:r>
            <w:r w:rsidR="0002754B">
              <w:rPr>
                <w:sz w:val="24"/>
                <w:szCs w:val="24"/>
                <w:lang w:val="uk-UA"/>
              </w:rPr>
              <w:t xml:space="preserve"> </w:t>
            </w:r>
            <w:r w:rsidRPr="00720DC2">
              <w:rPr>
                <w:sz w:val="24"/>
                <w:szCs w:val="24"/>
                <w:lang w:val="uk-UA"/>
              </w:rPr>
              <w:t>форми навчання</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Осіб</w:t>
            </w:r>
          </w:p>
        </w:tc>
        <w:tc>
          <w:tcPr>
            <w:tcW w:w="1134" w:type="dxa"/>
          </w:tcPr>
          <w:p w:rsidR="00C611CD" w:rsidRPr="00720DC2" w:rsidRDefault="00C611CD" w:rsidP="00523CDB">
            <w:pPr>
              <w:jc w:val="center"/>
              <w:rPr>
                <w:sz w:val="24"/>
                <w:szCs w:val="24"/>
                <w:lang w:val="uk-UA"/>
              </w:rPr>
            </w:pPr>
            <w:r w:rsidRPr="00720DC2">
              <w:rPr>
                <w:sz w:val="24"/>
                <w:szCs w:val="24"/>
                <w:lang w:val="uk-UA"/>
              </w:rPr>
              <w:t>52</w:t>
            </w:r>
          </w:p>
        </w:tc>
        <w:tc>
          <w:tcPr>
            <w:tcW w:w="1418" w:type="dxa"/>
          </w:tcPr>
          <w:p w:rsidR="00C611CD" w:rsidRPr="00720DC2" w:rsidRDefault="009B0966" w:rsidP="00523CDB">
            <w:pPr>
              <w:jc w:val="center"/>
              <w:rPr>
                <w:sz w:val="24"/>
                <w:szCs w:val="24"/>
                <w:lang w:val="uk-UA"/>
              </w:rPr>
            </w:pPr>
            <w:r w:rsidRPr="00720DC2">
              <w:rPr>
                <w:sz w:val="24"/>
                <w:szCs w:val="24"/>
                <w:lang w:val="uk-UA"/>
              </w:rPr>
              <w:t>49</w:t>
            </w: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Позашкільні заклади освіти</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одиниць</w:t>
            </w:r>
          </w:p>
        </w:tc>
        <w:tc>
          <w:tcPr>
            <w:tcW w:w="1134" w:type="dxa"/>
          </w:tcPr>
          <w:p w:rsidR="00C611CD" w:rsidRPr="00720DC2" w:rsidRDefault="00C611CD" w:rsidP="00523CDB">
            <w:pPr>
              <w:jc w:val="center"/>
              <w:rPr>
                <w:sz w:val="24"/>
                <w:szCs w:val="24"/>
                <w:lang w:val="uk-UA"/>
              </w:rPr>
            </w:pPr>
            <w:r w:rsidRPr="00720DC2">
              <w:rPr>
                <w:sz w:val="24"/>
                <w:szCs w:val="24"/>
                <w:lang w:val="uk-UA"/>
              </w:rPr>
              <w:t>9</w:t>
            </w:r>
          </w:p>
        </w:tc>
        <w:tc>
          <w:tcPr>
            <w:tcW w:w="1418" w:type="dxa"/>
          </w:tcPr>
          <w:p w:rsidR="00C611CD" w:rsidRPr="00720DC2" w:rsidRDefault="009B0966" w:rsidP="00523CDB">
            <w:pPr>
              <w:jc w:val="center"/>
              <w:rPr>
                <w:sz w:val="24"/>
                <w:szCs w:val="24"/>
                <w:lang w:val="uk-UA"/>
              </w:rPr>
            </w:pPr>
            <w:r w:rsidRPr="00720DC2">
              <w:rPr>
                <w:sz w:val="24"/>
                <w:szCs w:val="24"/>
                <w:lang w:val="uk-UA"/>
              </w:rPr>
              <w:t>12</w:t>
            </w:r>
          </w:p>
        </w:tc>
      </w:tr>
      <w:tr w:rsidR="00C611CD" w:rsidRPr="00720DC2" w:rsidTr="0002754B">
        <w:tc>
          <w:tcPr>
            <w:tcW w:w="5954" w:type="dxa"/>
            <w:shd w:val="clear" w:color="auto" w:fill="auto"/>
          </w:tcPr>
          <w:p w:rsidR="00C611CD" w:rsidRPr="00720DC2" w:rsidRDefault="00C611CD" w:rsidP="00523CDB">
            <w:pPr>
              <w:jc w:val="both"/>
              <w:rPr>
                <w:sz w:val="24"/>
                <w:szCs w:val="24"/>
                <w:lang w:val="uk-UA"/>
              </w:rPr>
            </w:pPr>
            <w:r w:rsidRPr="00720DC2">
              <w:rPr>
                <w:sz w:val="24"/>
                <w:szCs w:val="24"/>
                <w:lang w:val="uk-UA"/>
              </w:rPr>
              <w:t>Кількість дітей, які відвідують позашкільні заклади освіти</w:t>
            </w:r>
          </w:p>
        </w:tc>
        <w:tc>
          <w:tcPr>
            <w:tcW w:w="1134" w:type="dxa"/>
            <w:shd w:val="clear" w:color="auto" w:fill="auto"/>
          </w:tcPr>
          <w:p w:rsidR="00C611CD" w:rsidRPr="00720DC2" w:rsidRDefault="00C611CD" w:rsidP="00523CDB">
            <w:pPr>
              <w:jc w:val="center"/>
              <w:rPr>
                <w:sz w:val="24"/>
                <w:szCs w:val="24"/>
                <w:lang w:val="uk-UA"/>
              </w:rPr>
            </w:pPr>
            <w:r w:rsidRPr="00720DC2">
              <w:rPr>
                <w:sz w:val="24"/>
                <w:szCs w:val="24"/>
                <w:lang w:val="uk-UA"/>
              </w:rPr>
              <w:t>осіб</w:t>
            </w:r>
          </w:p>
        </w:tc>
        <w:tc>
          <w:tcPr>
            <w:tcW w:w="1134" w:type="dxa"/>
          </w:tcPr>
          <w:p w:rsidR="00C611CD" w:rsidRPr="00720DC2" w:rsidRDefault="00C611CD" w:rsidP="00523CDB">
            <w:pPr>
              <w:jc w:val="center"/>
              <w:rPr>
                <w:sz w:val="24"/>
                <w:szCs w:val="24"/>
                <w:lang w:val="uk-UA"/>
              </w:rPr>
            </w:pPr>
            <w:r w:rsidRPr="00720DC2">
              <w:rPr>
                <w:sz w:val="24"/>
                <w:szCs w:val="24"/>
                <w:lang w:val="uk-UA"/>
              </w:rPr>
              <w:t>6</w:t>
            </w:r>
            <w:r w:rsidR="009B0966" w:rsidRPr="00720DC2">
              <w:rPr>
                <w:sz w:val="24"/>
                <w:szCs w:val="24"/>
                <w:lang w:val="uk-UA"/>
              </w:rPr>
              <w:t xml:space="preserve"> </w:t>
            </w:r>
            <w:r w:rsidRPr="00720DC2">
              <w:rPr>
                <w:sz w:val="24"/>
                <w:szCs w:val="24"/>
                <w:lang w:val="uk-UA"/>
              </w:rPr>
              <w:t>900</w:t>
            </w:r>
          </w:p>
        </w:tc>
        <w:tc>
          <w:tcPr>
            <w:tcW w:w="1418" w:type="dxa"/>
          </w:tcPr>
          <w:p w:rsidR="00C611CD" w:rsidRPr="00720DC2" w:rsidRDefault="009B0966" w:rsidP="00523CDB">
            <w:pPr>
              <w:jc w:val="center"/>
              <w:rPr>
                <w:sz w:val="24"/>
                <w:szCs w:val="24"/>
                <w:lang w:val="uk-UA"/>
              </w:rPr>
            </w:pPr>
            <w:r w:rsidRPr="00720DC2">
              <w:rPr>
                <w:sz w:val="24"/>
                <w:szCs w:val="24"/>
                <w:lang w:val="uk-UA"/>
              </w:rPr>
              <w:t>12 008</w:t>
            </w:r>
          </w:p>
        </w:tc>
      </w:tr>
    </w:tbl>
    <w:p w:rsidR="00183E22" w:rsidRPr="00720DC2" w:rsidRDefault="00183E22" w:rsidP="00183E22">
      <w:pPr>
        <w:pStyle w:val="a7"/>
        <w:numPr>
          <w:ilvl w:val="1"/>
          <w:numId w:val="13"/>
        </w:numPr>
        <w:spacing w:after="0"/>
        <w:ind w:left="1134" w:hanging="425"/>
        <w:jc w:val="both"/>
        <w:outlineLvl w:val="0"/>
        <w:rPr>
          <w:i/>
          <w:sz w:val="28"/>
          <w:szCs w:val="28"/>
          <w:lang w:val="uk-UA"/>
        </w:rPr>
      </w:pPr>
      <w:r w:rsidRPr="00720DC2">
        <w:rPr>
          <w:i/>
          <w:sz w:val="28"/>
          <w:szCs w:val="28"/>
          <w:lang w:val="uk-UA"/>
        </w:rPr>
        <w:lastRenderedPageBreak/>
        <w:t>Молодіжна та сімейна політика</w:t>
      </w:r>
    </w:p>
    <w:p w:rsidR="00183E22" w:rsidRPr="00720DC2" w:rsidRDefault="00183E22" w:rsidP="00183E22">
      <w:pPr>
        <w:pStyle w:val="af1"/>
        <w:ind w:left="0" w:firstLine="709"/>
        <w:jc w:val="both"/>
        <w:rPr>
          <w:sz w:val="28"/>
          <w:szCs w:val="28"/>
          <w:lang w:val="uk-UA"/>
        </w:rPr>
      </w:pPr>
      <w:r w:rsidRPr="00720DC2">
        <w:rPr>
          <w:sz w:val="28"/>
          <w:szCs w:val="28"/>
          <w:lang w:val="uk-UA"/>
        </w:rPr>
        <w:t xml:space="preserve">Для підтримки творчої та обдарованої молоді проведено ряд фестивалів, конкурсів, виставок, відпочинкових заходів, серед яких слід відзначити: </w:t>
      </w:r>
    </w:p>
    <w:p w:rsidR="00183E22" w:rsidRPr="00720DC2" w:rsidRDefault="00183E22" w:rsidP="00183E22">
      <w:pPr>
        <w:pStyle w:val="af1"/>
        <w:ind w:left="0"/>
        <w:jc w:val="both"/>
        <w:rPr>
          <w:sz w:val="28"/>
          <w:szCs w:val="28"/>
          <w:lang w:val="uk-UA"/>
        </w:rPr>
      </w:pPr>
      <w:r w:rsidRPr="00720DC2">
        <w:rPr>
          <w:sz w:val="28"/>
          <w:szCs w:val="28"/>
          <w:lang w:val="uk-UA"/>
        </w:rPr>
        <w:t>- молодіжну акцію із залученням іноземних студентів з нагоди відзначення Міжнародного Дня рідної мови;</w:t>
      </w:r>
    </w:p>
    <w:p w:rsidR="00183E22" w:rsidRPr="00720DC2" w:rsidRDefault="00183E22" w:rsidP="00183E22">
      <w:pPr>
        <w:pStyle w:val="af1"/>
        <w:ind w:left="0"/>
        <w:jc w:val="both"/>
        <w:rPr>
          <w:sz w:val="28"/>
          <w:szCs w:val="28"/>
          <w:lang w:val="uk-UA"/>
        </w:rPr>
      </w:pPr>
      <w:r w:rsidRPr="00720DC2">
        <w:rPr>
          <w:sz w:val="28"/>
          <w:szCs w:val="28"/>
          <w:lang w:val="uk-UA"/>
        </w:rPr>
        <w:t xml:space="preserve">- 22-ий сезон чемпіонату студентських команд КВН </w:t>
      </w:r>
      <w:r w:rsidR="00D4778A" w:rsidRPr="00720DC2">
        <w:rPr>
          <w:sz w:val="28"/>
          <w:szCs w:val="28"/>
          <w:lang w:val="uk-UA"/>
        </w:rPr>
        <w:t>"</w:t>
      </w:r>
      <w:r w:rsidRPr="00720DC2">
        <w:rPr>
          <w:sz w:val="28"/>
          <w:szCs w:val="28"/>
          <w:lang w:val="uk-UA"/>
        </w:rPr>
        <w:t>Кавалєрка-2018</w:t>
      </w:r>
      <w:r w:rsidR="00D4778A" w:rsidRPr="00720DC2">
        <w:rPr>
          <w:sz w:val="28"/>
          <w:szCs w:val="28"/>
          <w:lang w:val="uk-UA"/>
        </w:rPr>
        <w:t>"</w:t>
      </w:r>
      <w:r w:rsidRPr="00720DC2">
        <w:rPr>
          <w:sz w:val="28"/>
          <w:szCs w:val="28"/>
          <w:lang w:val="uk-UA"/>
        </w:rPr>
        <w:t>;</w:t>
      </w:r>
    </w:p>
    <w:p w:rsidR="00183E22" w:rsidRPr="00720DC2" w:rsidRDefault="00183E22" w:rsidP="00183E22">
      <w:pPr>
        <w:pStyle w:val="af1"/>
        <w:ind w:left="0"/>
        <w:jc w:val="both"/>
        <w:rPr>
          <w:sz w:val="28"/>
          <w:szCs w:val="28"/>
          <w:lang w:val="uk-UA"/>
        </w:rPr>
      </w:pPr>
      <w:r w:rsidRPr="00720DC2">
        <w:rPr>
          <w:sz w:val="28"/>
          <w:szCs w:val="28"/>
          <w:lang w:val="uk-UA"/>
        </w:rPr>
        <w:t>- Всеукраїнський студентський хакатон IT-технологій - ''std::hackathon</w:t>
      </w:r>
      <w:r w:rsidR="00D4778A" w:rsidRPr="00720DC2">
        <w:rPr>
          <w:sz w:val="28"/>
          <w:szCs w:val="28"/>
          <w:lang w:val="uk-UA"/>
        </w:rPr>
        <w:t>"</w:t>
      </w:r>
      <w:r w:rsidRPr="00720DC2">
        <w:rPr>
          <w:sz w:val="28"/>
          <w:szCs w:val="28"/>
          <w:lang w:val="uk-UA"/>
        </w:rPr>
        <w:t>;</w:t>
      </w:r>
    </w:p>
    <w:p w:rsidR="00183E22" w:rsidRPr="00720DC2" w:rsidRDefault="00183E22" w:rsidP="00183E22">
      <w:pPr>
        <w:pStyle w:val="af1"/>
        <w:ind w:left="0"/>
        <w:jc w:val="both"/>
        <w:rPr>
          <w:sz w:val="28"/>
          <w:szCs w:val="28"/>
          <w:lang w:val="uk-UA"/>
        </w:rPr>
      </w:pPr>
      <w:r w:rsidRPr="00720DC2">
        <w:rPr>
          <w:sz w:val="28"/>
          <w:szCs w:val="28"/>
          <w:lang w:val="uk-UA"/>
        </w:rPr>
        <w:t xml:space="preserve">- молодіжний квест </w:t>
      </w:r>
      <w:r w:rsidR="00D4778A" w:rsidRPr="00720DC2">
        <w:rPr>
          <w:sz w:val="28"/>
          <w:szCs w:val="28"/>
          <w:lang w:val="uk-UA"/>
        </w:rPr>
        <w:t>"</w:t>
      </w:r>
      <w:r w:rsidRPr="00720DC2">
        <w:rPr>
          <w:sz w:val="28"/>
          <w:szCs w:val="28"/>
          <w:lang w:val="uk-UA"/>
        </w:rPr>
        <w:t>Інтелект крос</w:t>
      </w:r>
      <w:r w:rsidR="00D4778A" w:rsidRPr="00720DC2">
        <w:rPr>
          <w:sz w:val="28"/>
          <w:szCs w:val="28"/>
          <w:lang w:val="uk-UA"/>
        </w:rPr>
        <w:t>"</w:t>
      </w:r>
      <w:r w:rsidRPr="00720DC2">
        <w:rPr>
          <w:sz w:val="28"/>
          <w:szCs w:val="28"/>
          <w:lang w:val="uk-UA"/>
        </w:rPr>
        <w:t xml:space="preserve"> на знання історії міста, конкурс краси </w:t>
      </w:r>
      <w:r w:rsidR="00D4778A" w:rsidRPr="00720DC2">
        <w:rPr>
          <w:sz w:val="28"/>
          <w:szCs w:val="28"/>
          <w:lang w:val="uk-UA"/>
        </w:rPr>
        <w:t>"</w:t>
      </w:r>
      <w:r w:rsidRPr="00720DC2">
        <w:rPr>
          <w:sz w:val="28"/>
          <w:szCs w:val="28"/>
          <w:lang w:val="uk-UA"/>
        </w:rPr>
        <w:t>Міс Івано-Франківськ</w:t>
      </w:r>
      <w:r w:rsidR="00D4778A" w:rsidRPr="00720DC2">
        <w:rPr>
          <w:sz w:val="28"/>
          <w:szCs w:val="28"/>
          <w:lang w:val="uk-UA"/>
        </w:rPr>
        <w:t>"</w:t>
      </w:r>
      <w:r w:rsidRPr="00720DC2">
        <w:rPr>
          <w:sz w:val="28"/>
          <w:szCs w:val="28"/>
          <w:lang w:val="uk-UA"/>
        </w:rPr>
        <w:t xml:space="preserve">, відкриття байкерського сезону, ХІ фестиваль </w:t>
      </w:r>
      <w:r w:rsidR="00D4778A" w:rsidRPr="00720DC2">
        <w:rPr>
          <w:sz w:val="28"/>
          <w:szCs w:val="28"/>
          <w:lang w:val="uk-UA"/>
        </w:rPr>
        <w:t>"</w:t>
      </w:r>
      <w:r w:rsidRPr="00720DC2">
        <w:rPr>
          <w:sz w:val="28"/>
          <w:szCs w:val="28"/>
          <w:lang w:val="uk-UA"/>
        </w:rPr>
        <w:t>Вгору серця</w:t>
      </w:r>
      <w:r w:rsidR="00D4778A" w:rsidRPr="00720DC2">
        <w:rPr>
          <w:sz w:val="28"/>
          <w:szCs w:val="28"/>
          <w:lang w:val="uk-UA"/>
        </w:rPr>
        <w:t>"</w:t>
      </w:r>
      <w:r w:rsidRPr="00720DC2">
        <w:rPr>
          <w:sz w:val="28"/>
          <w:szCs w:val="28"/>
          <w:lang w:val="uk-UA"/>
        </w:rPr>
        <w:t>;</w:t>
      </w:r>
    </w:p>
    <w:p w:rsidR="00183E22" w:rsidRPr="00720DC2" w:rsidRDefault="00183E22" w:rsidP="00183E22">
      <w:pPr>
        <w:pStyle w:val="af1"/>
        <w:ind w:left="0"/>
        <w:jc w:val="both"/>
        <w:rPr>
          <w:sz w:val="28"/>
          <w:szCs w:val="28"/>
          <w:lang w:val="uk-UA"/>
        </w:rPr>
      </w:pPr>
      <w:r w:rsidRPr="00720DC2">
        <w:rPr>
          <w:sz w:val="28"/>
          <w:szCs w:val="28"/>
          <w:lang w:val="uk-UA"/>
        </w:rPr>
        <w:t xml:space="preserve">- патріотичну акцію </w:t>
      </w:r>
      <w:r w:rsidR="00D4778A" w:rsidRPr="00720DC2">
        <w:rPr>
          <w:sz w:val="28"/>
          <w:szCs w:val="28"/>
          <w:lang w:val="uk-UA"/>
        </w:rPr>
        <w:t>"</w:t>
      </w:r>
      <w:r w:rsidRPr="00720DC2">
        <w:rPr>
          <w:sz w:val="28"/>
          <w:szCs w:val="28"/>
          <w:lang w:val="uk-UA"/>
        </w:rPr>
        <w:t>Вишиванка – дзеркало народної душі</w:t>
      </w:r>
      <w:r w:rsidR="00D4778A" w:rsidRPr="00720DC2">
        <w:rPr>
          <w:sz w:val="28"/>
          <w:szCs w:val="28"/>
          <w:lang w:val="uk-UA"/>
        </w:rPr>
        <w:t>"</w:t>
      </w:r>
      <w:r w:rsidRPr="00720DC2">
        <w:rPr>
          <w:sz w:val="28"/>
          <w:szCs w:val="28"/>
          <w:lang w:val="uk-UA"/>
        </w:rPr>
        <w:t>;</w:t>
      </w:r>
    </w:p>
    <w:p w:rsidR="00183E22" w:rsidRPr="00720DC2" w:rsidRDefault="00183E22" w:rsidP="00183E22">
      <w:pPr>
        <w:pStyle w:val="af1"/>
        <w:ind w:left="0"/>
        <w:jc w:val="both"/>
        <w:rPr>
          <w:sz w:val="28"/>
          <w:szCs w:val="28"/>
          <w:lang w:val="uk-UA"/>
        </w:rPr>
      </w:pPr>
      <w:r w:rsidRPr="00720DC2">
        <w:rPr>
          <w:sz w:val="28"/>
          <w:szCs w:val="28"/>
          <w:lang w:val="uk-UA"/>
        </w:rPr>
        <w:t xml:space="preserve">- фестиваль </w:t>
      </w:r>
      <w:r w:rsidR="00D4778A" w:rsidRPr="00720DC2">
        <w:rPr>
          <w:sz w:val="28"/>
          <w:szCs w:val="28"/>
          <w:lang w:val="uk-UA"/>
        </w:rPr>
        <w:t>"</w:t>
      </w:r>
      <w:r w:rsidRPr="00720DC2">
        <w:rPr>
          <w:sz w:val="28"/>
          <w:szCs w:val="28"/>
          <w:lang w:val="uk-UA"/>
        </w:rPr>
        <w:t>Місто свідомих людей</w:t>
      </w:r>
      <w:r w:rsidR="00D4778A" w:rsidRPr="00720DC2">
        <w:rPr>
          <w:sz w:val="28"/>
          <w:szCs w:val="28"/>
          <w:lang w:val="uk-UA"/>
        </w:rPr>
        <w:t>"</w:t>
      </w:r>
      <w:r w:rsidRPr="00720DC2">
        <w:rPr>
          <w:sz w:val="28"/>
          <w:szCs w:val="28"/>
          <w:lang w:val="uk-UA"/>
        </w:rPr>
        <w:t xml:space="preserve">, в рамках якого відбувся кольоровий забіг, молодіжна акція спільно з патрульною поліцією м. Івано-Франківська </w:t>
      </w:r>
      <w:r w:rsidR="00CE4355">
        <w:rPr>
          <w:sz w:val="28"/>
          <w:szCs w:val="28"/>
          <w:lang w:val="uk-UA"/>
        </w:rPr>
        <w:t>"</w:t>
      </w:r>
      <w:r w:rsidRPr="00720DC2">
        <w:rPr>
          <w:sz w:val="28"/>
          <w:szCs w:val="28"/>
          <w:lang w:val="uk-UA"/>
        </w:rPr>
        <w:t>Тверезий водій</w:t>
      </w:r>
      <w:r w:rsidR="00D4778A" w:rsidRPr="00720DC2">
        <w:rPr>
          <w:sz w:val="28"/>
          <w:szCs w:val="28"/>
          <w:lang w:val="uk-UA"/>
        </w:rPr>
        <w:t>"</w:t>
      </w:r>
      <w:r w:rsidRPr="00720DC2">
        <w:rPr>
          <w:sz w:val="28"/>
          <w:szCs w:val="28"/>
          <w:lang w:val="uk-UA"/>
        </w:rPr>
        <w:t>, конкурс мол</w:t>
      </w:r>
      <w:r w:rsidR="00CE4355">
        <w:rPr>
          <w:sz w:val="28"/>
          <w:szCs w:val="28"/>
          <w:lang w:val="uk-UA"/>
        </w:rPr>
        <w:t>одих перукарів, конкурс з брейк-</w:t>
      </w:r>
      <w:r w:rsidRPr="00720DC2">
        <w:rPr>
          <w:sz w:val="28"/>
          <w:szCs w:val="28"/>
          <w:lang w:val="uk-UA"/>
        </w:rPr>
        <w:t xml:space="preserve">дансу,  богатирський турнір, творчий вечір-пікнік </w:t>
      </w:r>
      <w:r w:rsidR="00D4778A" w:rsidRPr="00720DC2">
        <w:rPr>
          <w:sz w:val="28"/>
          <w:szCs w:val="28"/>
          <w:lang w:val="uk-UA"/>
        </w:rPr>
        <w:t>"</w:t>
      </w:r>
      <w:r w:rsidRPr="00720DC2">
        <w:rPr>
          <w:sz w:val="28"/>
          <w:szCs w:val="28"/>
          <w:lang w:val="uk-UA"/>
        </w:rPr>
        <w:t>Перспективи самореалізації музично-обдарованої молоді</w:t>
      </w:r>
      <w:r w:rsidR="00D4778A" w:rsidRPr="00720DC2">
        <w:rPr>
          <w:sz w:val="28"/>
          <w:szCs w:val="28"/>
          <w:lang w:val="uk-UA"/>
        </w:rPr>
        <w:t>"</w:t>
      </w:r>
      <w:r w:rsidR="00B75C34">
        <w:rPr>
          <w:sz w:val="28"/>
          <w:szCs w:val="28"/>
          <w:lang w:val="uk-UA"/>
        </w:rPr>
        <w:t>;</w:t>
      </w:r>
    </w:p>
    <w:p w:rsidR="00183E22" w:rsidRPr="00720DC2" w:rsidRDefault="00183E22" w:rsidP="00183E22">
      <w:pPr>
        <w:pStyle w:val="af1"/>
        <w:ind w:left="0"/>
        <w:jc w:val="both"/>
        <w:rPr>
          <w:sz w:val="28"/>
          <w:szCs w:val="28"/>
          <w:lang w:val="uk-UA"/>
        </w:rPr>
      </w:pPr>
      <w:r w:rsidRPr="00720DC2">
        <w:rPr>
          <w:sz w:val="28"/>
          <w:szCs w:val="28"/>
          <w:lang w:val="uk-UA"/>
        </w:rPr>
        <w:t>- фестиваль культур Global Village</w:t>
      </w:r>
      <w:r w:rsidR="00EE6B1C" w:rsidRPr="00720DC2">
        <w:rPr>
          <w:sz w:val="28"/>
          <w:szCs w:val="28"/>
          <w:lang w:val="uk-UA"/>
        </w:rPr>
        <w:t>;</w:t>
      </w:r>
    </w:p>
    <w:p w:rsidR="00EE6B1C" w:rsidRPr="00720DC2" w:rsidRDefault="00EE6B1C" w:rsidP="00183E22">
      <w:pPr>
        <w:pStyle w:val="af1"/>
        <w:ind w:left="0"/>
        <w:jc w:val="both"/>
        <w:rPr>
          <w:sz w:val="28"/>
          <w:szCs w:val="28"/>
          <w:lang w:val="uk-UA"/>
        </w:rPr>
      </w:pPr>
      <w:r w:rsidRPr="00720DC2">
        <w:rPr>
          <w:sz w:val="28"/>
          <w:szCs w:val="28"/>
          <w:lang w:val="uk-UA"/>
        </w:rPr>
        <w:t xml:space="preserve">- </w:t>
      </w:r>
      <w:r w:rsidRPr="00720DC2">
        <w:rPr>
          <w:sz w:val="28"/>
          <w:szCs w:val="28"/>
          <w:shd w:val="clear" w:color="auto" w:fill="FFFFFF"/>
          <w:lang w:val="uk-UA"/>
        </w:rPr>
        <w:t xml:space="preserve">мистецьку акцію </w:t>
      </w:r>
      <w:r w:rsidR="001F05DA" w:rsidRPr="00720DC2">
        <w:rPr>
          <w:sz w:val="28"/>
          <w:szCs w:val="28"/>
          <w:shd w:val="clear" w:color="auto" w:fill="FFFFFF"/>
          <w:lang w:val="uk-UA"/>
        </w:rPr>
        <w:t>"</w:t>
      </w:r>
      <w:r w:rsidRPr="00720DC2">
        <w:rPr>
          <w:sz w:val="28"/>
          <w:szCs w:val="28"/>
          <w:shd w:val="clear" w:color="auto" w:fill="FFFFFF"/>
          <w:lang w:val="uk-UA"/>
        </w:rPr>
        <w:t>Прапор України – символ вільної української держави</w:t>
      </w:r>
      <w:r w:rsidR="001F05DA" w:rsidRPr="00720DC2">
        <w:rPr>
          <w:sz w:val="28"/>
          <w:szCs w:val="28"/>
          <w:shd w:val="clear" w:color="auto" w:fill="FFFFFF"/>
          <w:lang w:val="uk-UA"/>
        </w:rPr>
        <w:t>"</w:t>
      </w:r>
      <w:r w:rsidRPr="00720DC2">
        <w:rPr>
          <w:sz w:val="28"/>
          <w:szCs w:val="28"/>
          <w:shd w:val="clear" w:color="auto" w:fill="FFFFFF"/>
          <w:lang w:val="uk-UA"/>
        </w:rPr>
        <w:t>.</w:t>
      </w:r>
    </w:p>
    <w:p w:rsidR="00183E22" w:rsidRPr="00720DC2" w:rsidRDefault="00183E22" w:rsidP="00183E22">
      <w:pPr>
        <w:pStyle w:val="af1"/>
        <w:ind w:left="0" w:firstLine="709"/>
        <w:jc w:val="both"/>
        <w:rPr>
          <w:sz w:val="28"/>
          <w:szCs w:val="28"/>
          <w:lang w:val="uk-UA"/>
        </w:rPr>
      </w:pPr>
      <w:r w:rsidRPr="00720DC2">
        <w:rPr>
          <w:sz w:val="28"/>
          <w:szCs w:val="28"/>
          <w:lang w:val="uk-UA"/>
        </w:rPr>
        <w:t xml:space="preserve">З метою пропаганди здорового способу життя, профілактики негативних явищ в молодіжному середовищі в с.Татарів Яремчанської міської ради проведено семінар-тренінг </w:t>
      </w:r>
      <w:r w:rsidR="00D4778A" w:rsidRPr="00720DC2">
        <w:rPr>
          <w:sz w:val="28"/>
          <w:szCs w:val="28"/>
          <w:lang w:val="uk-UA"/>
        </w:rPr>
        <w:t>"</w:t>
      </w:r>
      <w:r w:rsidRPr="00720DC2">
        <w:rPr>
          <w:sz w:val="28"/>
          <w:szCs w:val="28"/>
          <w:lang w:val="uk-UA"/>
        </w:rPr>
        <w:t>Здоров’я молоді – здоров’я нації</w:t>
      </w:r>
      <w:r w:rsidR="00D4778A" w:rsidRPr="00720DC2">
        <w:rPr>
          <w:sz w:val="28"/>
          <w:szCs w:val="28"/>
          <w:lang w:val="uk-UA"/>
        </w:rPr>
        <w:t>"</w:t>
      </w:r>
      <w:r w:rsidRPr="00720DC2">
        <w:rPr>
          <w:sz w:val="28"/>
          <w:szCs w:val="28"/>
          <w:lang w:val="uk-UA"/>
        </w:rPr>
        <w:t xml:space="preserve">, участь в якому взяли представники близько 10-ти ГО міста. Реалізовано проекти ГО </w:t>
      </w:r>
      <w:r w:rsidR="00D4778A" w:rsidRPr="00720DC2">
        <w:rPr>
          <w:sz w:val="28"/>
          <w:szCs w:val="28"/>
          <w:lang w:val="uk-UA"/>
        </w:rPr>
        <w:t>"</w:t>
      </w:r>
      <w:r w:rsidRPr="00720DC2">
        <w:rPr>
          <w:sz w:val="28"/>
          <w:szCs w:val="28"/>
          <w:lang w:val="uk-UA"/>
        </w:rPr>
        <w:t>Богатир</w:t>
      </w:r>
      <w:r w:rsidR="00D4778A" w:rsidRPr="00720DC2">
        <w:rPr>
          <w:sz w:val="28"/>
          <w:szCs w:val="28"/>
          <w:lang w:val="uk-UA"/>
        </w:rPr>
        <w:t>"</w:t>
      </w:r>
      <w:r w:rsidRPr="00720DC2">
        <w:rPr>
          <w:sz w:val="28"/>
          <w:szCs w:val="28"/>
          <w:lang w:val="uk-UA"/>
        </w:rPr>
        <w:t xml:space="preserve"> - проект </w:t>
      </w:r>
      <w:r w:rsidR="00D4778A" w:rsidRPr="00720DC2">
        <w:rPr>
          <w:sz w:val="28"/>
          <w:szCs w:val="28"/>
          <w:lang w:val="uk-UA"/>
        </w:rPr>
        <w:t>"</w:t>
      </w:r>
      <w:r w:rsidRPr="00720DC2">
        <w:rPr>
          <w:sz w:val="28"/>
          <w:szCs w:val="28"/>
          <w:lang w:val="uk-UA"/>
        </w:rPr>
        <w:t>Фізично здорова молодь – наше майбутнє</w:t>
      </w:r>
      <w:r w:rsidR="00D4778A" w:rsidRPr="00720DC2">
        <w:rPr>
          <w:sz w:val="28"/>
          <w:szCs w:val="28"/>
          <w:lang w:val="uk-UA"/>
        </w:rPr>
        <w:t>"</w:t>
      </w:r>
      <w:r w:rsidRPr="00720DC2">
        <w:rPr>
          <w:sz w:val="28"/>
          <w:szCs w:val="28"/>
          <w:lang w:val="uk-UA"/>
        </w:rPr>
        <w:t xml:space="preserve">, ІФОО </w:t>
      </w:r>
      <w:r w:rsidR="00D4778A" w:rsidRPr="00720DC2">
        <w:rPr>
          <w:sz w:val="28"/>
          <w:szCs w:val="28"/>
          <w:lang w:val="uk-UA"/>
        </w:rPr>
        <w:t>"</w:t>
      </w:r>
      <w:r w:rsidRPr="00720DC2">
        <w:rPr>
          <w:sz w:val="28"/>
          <w:szCs w:val="28"/>
          <w:lang w:val="uk-UA"/>
        </w:rPr>
        <w:t>Молода Просвіта</w:t>
      </w:r>
      <w:r w:rsidR="00D4778A" w:rsidRPr="00720DC2">
        <w:rPr>
          <w:sz w:val="28"/>
          <w:szCs w:val="28"/>
          <w:lang w:val="uk-UA"/>
        </w:rPr>
        <w:t>"</w:t>
      </w:r>
      <w:r w:rsidRPr="00720DC2">
        <w:rPr>
          <w:sz w:val="28"/>
          <w:szCs w:val="28"/>
          <w:lang w:val="uk-UA"/>
        </w:rPr>
        <w:t xml:space="preserve"> - проект </w:t>
      </w:r>
      <w:r w:rsidR="00D4778A" w:rsidRPr="00720DC2">
        <w:rPr>
          <w:sz w:val="28"/>
          <w:szCs w:val="28"/>
          <w:lang w:val="uk-UA"/>
        </w:rPr>
        <w:t>"</w:t>
      </w:r>
      <w:r w:rsidRPr="00720DC2">
        <w:rPr>
          <w:sz w:val="28"/>
          <w:szCs w:val="28"/>
          <w:lang w:val="uk-UA"/>
        </w:rPr>
        <w:t>Попередження правопорушень серед підлітків Івано-Франківська</w:t>
      </w:r>
      <w:r w:rsidR="00D4778A" w:rsidRPr="00720DC2">
        <w:rPr>
          <w:sz w:val="28"/>
          <w:szCs w:val="28"/>
          <w:lang w:val="uk-UA"/>
        </w:rPr>
        <w:t>"</w:t>
      </w:r>
      <w:r w:rsidRPr="00720DC2">
        <w:rPr>
          <w:sz w:val="28"/>
          <w:szCs w:val="28"/>
          <w:lang w:val="uk-UA"/>
        </w:rPr>
        <w:t xml:space="preserve">, ГО </w:t>
      </w:r>
      <w:r w:rsidR="00D4778A" w:rsidRPr="00720DC2">
        <w:rPr>
          <w:sz w:val="28"/>
          <w:szCs w:val="28"/>
          <w:lang w:val="uk-UA"/>
        </w:rPr>
        <w:t>"</w:t>
      </w:r>
      <w:r w:rsidRPr="00720DC2">
        <w:rPr>
          <w:sz w:val="28"/>
          <w:szCs w:val="28"/>
          <w:lang w:val="uk-UA"/>
        </w:rPr>
        <w:t>Мами Прикарпаття</w:t>
      </w:r>
      <w:r w:rsidR="00D4778A" w:rsidRPr="00720DC2">
        <w:rPr>
          <w:sz w:val="28"/>
          <w:szCs w:val="28"/>
          <w:lang w:val="uk-UA"/>
        </w:rPr>
        <w:t>"</w:t>
      </w:r>
      <w:r w:rsidRPr="00720DC2">
        <w:rPr>
          <w:sz w:val="28"/>
          <w:szCs w:val="28"/>
          <w:lang w:val="uk-UA"/>
        </w:rPr>
        <w:tab/>
        <w:t xml:space="preserve">- проект </w:t>
      </w:r>
      <w:r w:rsidR="00D4778A" w:rsidRPr="00720DC2">
        <w:rPr>
          <w:sz w:val="28"/>
          <w:szCs w:val="28"/>
          <w:lang w:val="uk-UA"/>
        </w:rPr>
        <w:t>"</w:t>
      </w:r>
      <w:r w:rsidRPr="00720DC2">
        <w:rPr>
          <w:sz w:val="28"/>
          <w:szCs w:val="28"/>
          <w:lang w:val="uk-UA"/>
        </w:rPr>
        <w:t>Щаслива мить дитинства</w:t>
      </w:r>
      <w:r w:rsidR="00D4778A" w:rsidRPr="00720DC2">
        <w:rPr>
          <w:sz w:val="28"/>
          <w:szCs w:val="28"/>
          <w:lang w:val="uk-UA"/>
        </w:rPr>
        <w:t>"</w:t>
      </w:r>
      <w:r w:rsidRPr="00720DC2">
        <w:rPr>
          <w:sz w:val="28"/>
          <w:szCs w:val="28"/>
          <w:lang w:val="uk-UA"/>
        </w:rPr>
        <w:t xml:space="preserve">, БО </w:t>
      </w:r>
      <w:r w:rsidR="00D4778A" w:rsidRPr="00720DC2">
        <w:rPr>
          <w:sz w:val="28"/>
          <w:szCs w:val="28"/>
          <w:lang w:val="uk-UA"/>
        </w:rPr>
        <w:t>"</w:t>
      </w:r>
      <w:r w:rsidRPr="00720DC2">
        <w:rPr>
          <w:sz w:val="28"/>
          <w:szCs w:val="28"/>
          <w:lang w:val="uk-UA"/>
        </w:rPr>
        <w:t xml:space="preserve">Благодійний фонд </w:t>
      </w:r>
      <w:r w:rsidR="00D4778A" w:rsidRPr="00720DC2">
        <w:rPr>
          <w:sz w:val="28"/>
          <w:szCs w:val="28"/>
          <w:lang w:val="uk-UA"/>
        </w:rPr>
        <w:t>"</w:t>
      </w:r>
      <w:r w:rsidRPr="00720DC2">
        <w:rPr>
          <w:sz w:val="28"/>
          <w:szCs w:val="28"/>
          <w:lang w:val="uk-UA"/>
        </w:rPr>
        <w:t>Апостол</w:t>
      </w:r>
      <w:r w:rsidR="00D4778A" w:rsidRPr="00720DC2">
        <w:rPr>
          <w:sz w:val="28"/>
          <w:szCs w:val="28"/>
          <w:lang w:val="uk-UA"/>
        </w:rPr>
        <w:t>"</w:t>
      </w:r>
      <w:r w:rsidRPr="00720DC2">
        <w:rPr>
          <w:sz w:val="28"/>
          <w:szCs w:val="28"/>
          <w:lang w:val="uk-UA"/>
        </w:rPr>
        <w:t xml:space="preserve"> - проект </w:t>
      </w:r>
      <w:r w:rsidR="00D4778A" w:rsidRPr="00720DC2">
        <w:rPr>
          <w:sz w:val="28"/>
          <w:szCs w:val="28"/>
          <w:lang w:val="uk-UA"/>
        </w:rPr>
        <w:t>"</w:t>
      </w:r>
      <w:r w:rsidRPr="00720DC2">
        <w:rPr>
          <w:sz w:val="28"/>
          <w:szCs w:val="28"/>
          <w:lang w:val="uk-UA"/>
        </w:rPr>
        <w:t>Оазис</w:t>
      </w:r>
      <w:r w:rsidR="00D4778A" w:rsidRPr="00720DC2">
        <w:rPr>
          <w:sz w:val="28"/>
          <w:szCs w:val="28"/>
          <w:lang w:val="uk-UA"/>
        </w:rPr>
        <w:t>"</w:t>
      </w:r>
      <w:r w:rsidRPr="00720DC2">
        <w:rPr>
          <w:sz w:val="28"/>
          <w:szCs w:val="28"/>
          <w:lang w:val="uk-UA"/>
        </w:rPr>
        <w:t xml:space="preserve">, підтримано VIII </w:t>
      </w:r>
      <w:r w:rsidR="00D4778A" w:rsidRPr="00720DC2">
        <w:rPr>
          <w:sz w:val="28"/>
          <w:szCs w:val="28"/>
          <w:lang w:val="uk-UA"/>
        </w:rPr>
        <w:t>"</w:t>
      </w:r>
      <w:r w:rsidRPr="00720DC2">
        <w:rPr>
          <w:sz w:val="28"/>
          <w:szCs w:val="28"/>
          <w:lang w:val="uk-UA"/>
        </w:rPr>
        <w:t>Велопарад дівчат</w:t>
      </w:r>
      <w:r w:rsidR="00D4778A" w:rsidRPr="00720DC2">
        <w:rPr>
          <w:sz w:val="28"/>
          <w:szCs w:val="28"/>
          <w:lang w:val="uk-UA"/>
        </w:rPr>
        <w:t>"</w:t>
      </w:r>
      <w:r w:rsidRPr="00720DC2">
        <w:rPr>
          <w:sz w:val="28"/>
          <w:szCs w:val="28"/>
          <w:lang w:val="uk-UA"/>
        </w:rPr>
        <w:t xml:space="preserve">. В рамках реалізації проекту ГО </w:t>
      </w:r>
      <w:r w:rsidR="00D4778A" w:rsidRPr="00720DC2">
        <w:rPr>
          <w:sz w:val="28"/>
          <w:szCs w:val="28"/>
          <w:lang w:val="uk-UA"/>
        </w:rPr>
        <w:t>"</w:t>
      </w:r>
      <w:r w:rsidRPr="00720DC2">
        <w:rPr>
          <w:sz w:val="28"/>
          <w:szCs w:val="28"/>
          <w:lang w:val="uk-UA"/>
        </w:rPr>
        <w:t>Спільними зусиллями</w:t>
      </w:r>
      <w:r w:rsidR="00D4778A" w:rsidRPr="00720DC2">
        <w:rPr>
          <w:sz w:val="28"/>
          <w:szCs w:val="28"/>
          <w:lang w:val="uk-UA"/>
        </w:rPr>
        <w:t>"</w:t>
      </w:r>
      <w:r w:rsidRPr="00720DC2">
        <w:rPr>
          <w:sz w:val="28"/>
          <w:szCs w:val="28"/>
          <w:lang w:val="uk-UA"/>
        </w:rPr>
        <w:t xml:space="preserve"> підтримано проведення кубку з міні-футболу. </w:t>
      </w:r>
    </w:p>
    <w:p w:rsidR="00183E22" w:rsidRPr="00720DC2" w:rsidRDefault="00183E22" w:rsidP="00183E22">
      <w:pPr>
        <w:pStyle w:val="af1"/>
        <w:ind w:left="0" w:firstLine="709"/>
        <w:jc w:val="both"/>
        <w:rPr>
          <w:sz w:val="28"/>
          <w:szCs w:val="28"/>
          <w:lang w:val="uk-UA"/>
        </w:rPr>
      </w:pPr>
      <w:r w:rsidRPr="00720DC2">
        <w:rPr>
          <w:sz w:val="28"/>
          <w:szCs w:val="28"/>
          <w:lang w:val="uk-UA"/>
        </w:rPr>
        <w:t xml:space="preserve">На базі табору </w:t>
      </w:r>
      <w:r w:rsidR="00D4778A" w:rsidRPr="00720DC2">
        <w:rPr>
          <w:sz w:val="28"/>
          <w:szCs w:val="28"/>
          <w:lang w:val="uk-UA"/>
        </w:rPr>
        <w:t>"</w:t>
      </w:r>
      <w:r w:rsidRPr="00720DC2">
        <w:rPr>
          <w:sz w:val="28"/>
          <w:szCs w:val="28"/>
          <w:lang w:val="uk-UA"/>
        </w:rPr>
        <w:t>Лімниця</w:t>
      </w:r>
      <w:r w:rsidR="00D4778A" w:rsidRPr="00720DC2">
        <w:rPr>
          <w:sz w:val="28"/>
          <w:szCs w:val="28"/>
          <w:lang w:val="uk-UA"/>
        </w:rPr>
        <w:t>"</w:t>
      </w:r>
      <w:r w:rsidRPr="00720DC2">
        <w:rPr>
          <w:sz w:val="28"/>
          <w:szCs w:val="28"/>
          <w:lang w:val="uk-UA"/>
        </w:rPr>
        <w:t xml:space="preserve"> пройшов ІІ етап міської молодіжної науково-пізнавальної патріотичної програми </w:t>
      </w:r>
      <w:r w:rsidR="00D4778A" w:rsidRPr="00720DC2">
        <w:rPr>
          <w:sz w:val="28"/>
          <w:szCs w:val="28"/>
          <w:lang w:val="uk-UA"/>
        </w:rPr>
        <w:t>"</w:t>
      </w:r>
      <w:r w:rsidRPr="00720DC2">
        <w:rPr>
          <w:sz w:val="28"/>
          <w:szCs w:val="28"/>
          <w:lang w:val="uk-UA"/>
        </w:rPr>
        <w:t>Чорний ліс - 2018</w:t>
      </w:r>
      <w:r w:rsidR="00D4778A" w:rsidRPr="00720DC2">
        <w:rPr>
          <w:sz w:val="28"/>
          <w:szCs w:val="28"/>
          <w:lang w:val="uk-UA"/>
        </w:rPr>
        <w:t>"</w:t>
      </w:r>
      <w:r w:rsidRPr="00720DC2">
        <w:rPr>
          <w:sz w:val="28"/>
          <w:szCs w:val="28"/>
          <w:lang w:val="uk-UA"/>
        </w:rPr>
        <w:t xml:space="preserve">. Участь у змаганнях взяло 7 команд загальноосвітніх шкіл обласного центру. </w:t>
      </w:r>
    </w:p>
    <w:p w:rsidR="00183E22" w:rsidRPr="00720DC2" w:rsidRDefault="00183E22" w:rsidP="001D2B22">
      <w:pPr>
        <w:ind w:firstLine="709"/>
        <w:jc w:val="both"/>
        <w:rPr>
          <w:lang w:val="uk-UA"/>
        </w:rPr>
      </w:pPr>
      <w:r w:rsidRPr="00720DC2">
        <w:rPr>
          <w:lang w:val="uk-UA"/>
        </w:rPr>
        <w:t>Проведено конкурс проектів молодіжних та дитячих громадських організацій. У 2018 році подано та підтримано 26 проектів від інститутів громадянського суспільства, для реалізації яких виділено кошти в сумі 130 тис.грн.</w:t>
      </w:r>
    </w:p>
    <w:p w:rsidR="00183E22" w:rsidRPr="00720DC2" w:rsidRDefault="00183E22" w:rsidP="00183E22">
      <w:pPr>
        <w:tabs>
          <w:tab w:val="left" w:pos="426"/>
        </w:tabs>
        <w:ind w:firstLine="426"/>
        <w:jc w:val="both"/>
        <w:rPr>
          <w:color w:val="000000"/>
          <w:lang w:val="uk-UA"/>
        </w:rPr>
      </w:pPr>
      <w:r w:rsidRPr="00720DC2">
        <w:rPr>
          <w:color w:val="000000"/>
          <w:lang w:val="uk-UA"/>
        </w:rPr>
        <w:tab/>
      </w:r>
      <w:r w:rsidR="005950AD" w:rsidRPr="00720DC2">
        <w:rPr>
          <w:color w:val="000000"/>
          <w:lang w:val="uk-UA"/>
        </w:rPr>
        <w:t>Н</w:t>
      </w:r>
      <w:r w:rsidRPr="00720DC2">
        <w:rPr>
          <w:lang w:val="uk-UA"/>
        </w:rPr>
        <w:t xml:space="preserve">а обліку в службі у справах дітей перебуває </w:t>
      </w:r>
      <w:r w:rsidRPr="00720DC2">
        <w:rPr>
          <w:color w:val="000000"/>
          <w:lang w:val="uk-UA"/>
        </w:rPr>
        <w:t>211 осіб, з них 166 дітей-сиріт та позбавлених батьківського піклування, 45 дітей, що опинились у складних життєвих обставинах. Впродовж кварталу 3-м внутрішньо переміщеним особам надано статус дитини, яка постраждала внаслідок воєнних дій та збройних конфліктів.</w:t>
      </w:r>
    </w:p>
    <w:p w:rsidR="00183E22" w:rsidRPr="00720DC2" w:rsidRDefault="00183E22" w:rsidP="00183E22">
      <w:pPr>
        <w:tabs>
          <w:tab w:val="left" w:pos="426"/>
        </w:tabs>
        <w:ind w:firstLine="426"/>
        <w:jc w:val="both"/>
        <w:rPr>
          <w:color w:val="000000"/>
          <w:lang w:val="uk-UA"/>
        </w:rPr>
      </w:pPr>
      <w:r w:rsidRPr="00720DC2">
        <w:rPr>
          <w:color w:val="000000"/>
          <w:lang w:val="uk-UA"/>
        </w:rPr>
        <w:tab/>
        <w:t>З категорії дітей-сиріт та дітей, позба</w:t>
      </w:r>
      <w:r w:rsidR="00B75C34">
        <w:rPr>
          <w:color w:val="000000"/>
          <w:lang w:val="uk-UA"/>
        </w:rPr>
        <w:t xml:space="preserve">влених батьківського піклування </w:t>
      </w:r>
      <w:r w:rsidRPr="00720DC2">
        <w:rPr>
          <w:color w:val="000000"/>
          <w:lang w:val="uk-UA"/>
        </w:rPr>
        <w:t>134 дітини виховується в сім’ях опікунів, піклувальників,  13 дітей - у  прийомних сім’ях та ДБСТ, а також 19 дітей перебуває на повному державному забезпеченні.</w:t>
      </w:r>
    </w:p>
    <w:p w:rsidR="00183E22" w:rsidRPr="00720DC2" w:rsidRDefault="00183E22" w:rsidP="001D2B22">
      <w:pPr>
        <w:tabs>
          <w:tab w:val="left" w:pos="426"/>
        </w:tabs>
        <w:ind w:firstLine="709"/>
        <w:jc w:val="both"/>
        <w:rPr>
          <w:color w:val="000000"/>
          <w:lang w:val="uk-UA"/>
        </w:rPr>
      </w:pPr>
      <w:r w:rsidRPr="00720DC2">
        <w:rPr>
          <w:lang w:val="uk-UA"/>
        </w:rPr>
        <w:lastRenderedPageBreak/>
        <w:t xml:space="preserve">У </w:t>
      </w:r>
      <w:r w:rsidRPr="00720DC2">
        <w:rPr>
          <w:color w:val="000000"/>
          <w:lang w:val="uk-UA"/>
        </w:rPr>
        <w:t xml:space="preserve">м.Івано-Франківську функціонує 12 прийомних сімей, в яких виховується 18 дітей та один дитячий будинок сімейного типу, в якому проживає 7 дітей. </w:t>
      </w:r>
    </w:p>
    <w:p w:rsidR="00183E22" w:rsidRPr="00720DC2" w:rsidRDefault="00183E22" w:rsidP="00183E22">
      <w:pPr>
        <w:tabs>
          <w:tab w:val="left" w:pos="426"/>
        </w:tabs>
        <w:ind w:firstLine="709"/>
        <w:jc w:val="both"/>
        <w:rPr>
          <w:color w:val="000000"/>
          <w:lang w:val="uk-UA"/>
        </w:rPr>
      </w:pPr>
      <w:r w:rsidRPr="00720DC2">
        <w:rPr>
          <w:color w:val="000000"/>
          <w:lang w:val="uk-UA"/>
        </w:rPr>
        <w:t xml:space="preserve">Впродовж 2018 року взято на облік 44 дитини,  з них: 16- позбавлених батьківського піклування, 6 - сиріт та  20 – у зв’язку з ухиленням батьків від їх виховання та утримання (в тому числі одну дитину внаслідок скоєння матір’ю щодо неї фізичного насильства, та одну дитину, яка самовільно залишає місце проживання).  </w:t>
      </w:r>
    </w:p>
    <w:p w:rsidR="00183E22" w:rsidRPr="00720DC2" w:rsidRDefault="00183E22" w:rsidP="00183E22">
      <w:pPr>
        <w:tabs>
          <w:tab w:val="left" w:pos="426"/>
        </w:tabs>
        <w:ind w:firstLine="426"/>
        <w:jc w:val="both"/>
        <w:rPr>
          <w:color w:val="000000"/>
          <w:lang w:val="uk-UA"/>
        </w:rPr>
      </w:pPr>
      <w:r w:rsidRPr="00720DC2">
        <w:rPr>
          <w:color w:val="000000"/>
          <w:lang w:val="uk-UA"/>
        </w:rPr>
        <w:tab/>
        <w:t xml:space="preserve">За звітний період з обліку знято 40 дітей, з них 22 досягли повноліття, 3-х дітей усиновлено, 3 повернуто на виховання батькам, 12 - втратили підстави перебування на обліку. </w:t>
      </w:r>
    </w:p>
    <w:p w:rsidR="00183E22" w:rsidRPr="00720DC2" w:rsidRDefault="00183E22" w:rsidP="00183E22">
      <w:pPr>
        <w:tabs>
          <w:tab w:val="left" w:pos="709"/>
        </w:tabs>
        <w:ind w:firstLine="709"/>
        <w:jc w:val="both"/>
        <w:rPr>
          <w:lang w:val="uk-UA"/>
        </w:rPr>
      </w:pPr>
      <w:r w:rsidRPr="00720DC2">
        <w:rPr>
          <w:lang w:val="uk-UA"/>
        </w:rPr>
        <w:t>З метою виявлення дітей, які могли б постраждати від погіршення погодних умов, службою у справах дітей ініційовано проведення обстеження умов проживання дітей ромської національності в мікрорайоні Пасічна із залученням лікаря - педіатра МДКЛ та працівників муніципальної варти. Відвідано тимчасове поселення ромів, де виявлено 4 дітей з батьками. На даний час правоохоронні органи проводять заходи щодо встановлення особи батьків однієї неповнолітньої дитини.</w:t>
      </w:r>
    </w:p>
    <w:p w:rsidR="00183E22" w:rsidRPr="00720DC2" w:rsidRDefault="00183E22" w:rsidP="00183E22">
      <w:pPr>
        <w:tabs>
          <w:tab w:val="left" w:pos="426"/>
        </w:tabs>
        <w:ind w:firstLine="709"/>
        <w:jc w:val="both"/>
        <w:rPr>
          <w:lang w:val="uk-UA"/>
        </w:rPr>
      </w:pPr>
      <w:r w:rsidRPr="00720DC2">
        <w:rPr>
          <w:lang w:val="uk-UA"/>
        </w:rPr>
        <w:t>На постійному контролі в службі у справах дітей перебуває питання жорстокого поводження з дітьми та попередження насильства в сім’ї. У 2018 році до служби надійшло 9 повідомлень щодо жорстокого поводження з дітьми або загрозу його вчинення. Одну дитину, щодо якої підтвердився факт скоєння насильства, поставлено на облік в службі.</w:t>
      </w:r>
    </w:p>
    <w:p w:rsidR="00183E22" w:rsidRPr="00720DC2" w:rsidRDefault="00183E22" w:rsidP="00183E22">
      <w:pPr>
        <w:tabs>
          <w:tab w:val="left" w:pos="426"/>
        </w:tabs>
        <w:ind w:firstLine="426"/>
        <w:jc w:val="both"/>
        <w:rPr>
          <w:lang w:val="uk-UA"/>
        </w:rPr>
      </w:pPr>
      <w:r w:rsidRPr="00720DC2">
        <w:rPr>
          <w:lang w:val="uk-UA"/>
        </w:rPr>
        <w:tab/>
        <w:t>З навчальних закладів всіх рівнів акредитації до служби впродовж 2018 року надійшло 8 клопотань про надання погодження на відрахування студентів, одне з яких не задоволено.</w:t>
      </w:r>
    </w:p>
    <w:p w:rsidR="00183E22" w:rsidRPr="00720DC2" w:rsidRDefault="00183E22" w:rsidP="00183E22">
      <w:pPr>
        <w:tabs>
          <w:tab w:val="left" w:pos="426"/>
        </w:tabs>
        <w:ind w:firstLine="709"/>
        <w:jc w:val="both"/>
        <w:rPr>
          <w:lang w:val="uk-UA"/>
        </w:rPr>
      </w:pPr>
      <w:r w:rsidRPr="00720DC2">
        <w:rPr>
          <w:lang w:val="uk-UA"/>
        </w:rPr>
        <w:t>Розглянуто 144 питання щодо захисту житлових та майнових прав дітей і надано відповідні дозволи на відчуження житла або ж набуття дітьми права на нерухоме майно.</w:t>
      </w:r>
    </w:p>
    <w:p w:rsidR="001D7508" w:rsidRPr="00720DC2" w:rsidRDefault="001D7508" w:rsidP="001D7508">
      <w:pPr>
        <w:tabs>
          <w:tab w:val="num" w:pos="0"/>
          <w:tab w:val="left" w:pos="1418"/>
        </w:tabs>
        <w:ind w:firstLine="709"/>
        <w:jc w:val="both"/>
        <w:rPr>
          <w:lang w:val="uk-UA"/>
        </w:rPr>
      </w:pPr>
      <w:r w:rsidRPr="00720DC2">
        <w:rPr>
          <w:lang w:val="uk-UA"/>
        </w:rPr>
        <w:t xml:space="preserve">Виявлення, оцінка потреб, надання соціальних послуг та здійснення соціального супроводу сімей з дітьми, які перебувають у складних життєвих обставинах,  здійснюється в рамках діяльності </w:t>
      </w:r>
      <w:r w:rsidR="001F05DA" w:rsidRPr="00720DC2">
        <w:rPr>
          <w:lang w:val="uk-UA"/>
        </w:rPr>
        <w:t>"</w:t>
      </w:r>
      <w:r w:rsidRPr="00720DC2">
        <w:rPr>
          <w:lang w:val="uk-UA"/>
        </w:rPr>
        <w:t>Служби соціальної підтримки сімей</w:t>
      </w:r>
      <w:r w:rsidR="001F05DA" w:rsidRPr="00720DC2">
        <w:rPr>
          <w:lang w:val="uk-UA"/>
        </w:rPr>
        <w:t>"</w:t>
      </w:r>
      <w:r w:rsidRPr="00720DC2">
        <w:rPr>
          <w:lang w:val="uk-UA"/>
        </w:rPr>
        <w:t>.</w:t>
      </w:r>
    </w:p>
    <w:p w:rsidR="001D7508" w:rsidRPr="00720DC2" w:rsidRDefault="001D7508" w:rsidP="001D7508">
      <w:pPr>
        <w:tabs>
          <w:tab w:val="left" w:pos="709"/>
          <w:tab w:val="left" w:pos="765"/>
        </w:tabs>
        <w:ind w:right="60" w:firstLine="709"/>
        <w:jc w:val="both"/>
        <w:rPr>
          <w:lang w:val="uk-UA"/>
        </w:rPr>
      </w:pPr>
      <w:r w:rsidRPr="00720DC2">
        <w:rPr>
          <w:lang w:val="uk-UA"/>
        </w:rPr>
        <w:tab/>
        <w:t xml:space="preserve">Впродовж  2018 року соціальними послугами охоплено 1371 сім`ю та особу, з яких 1029 сімей та осіб перебувають у складних життєвих обставинах. </w:t>
      </w:r>
    </w:p>
    <w:p w:rsidR="001D7508" w:rsidRPr="00720DC2" w:rsidRDefault="00D22F47" w:rsidP="004905BE">
      <w:pPr>
        <w:tabs>
          <w:tab w:val="left" w:pos="709"/>
          <w:tab w:val="left" w:pos="1560"/>
        </w:tabs>
        <w:ind w:right="60" w:firstLine="709"/>
        <w:jc w:val="both"/>
        <w:rPr>
          <w:lang w:val="uk-UA"/>
        </w:rPr>
      </w:pPr>
      <w:r>
        <w:rPr>
          <w:lang w:val="uk-UA"/>
        </w:rPr>
        <w:t xml:space="preserve"> </w:t>
      </w:r>
      <w:r w:rsidR="001D7508" w:rsidRPr="00720DC2">
        <w:rPr>
          <w:lang w:val="uk-UA"/>
        </w:rPr>
        <w:t xml:space="preserve">Під соціальним супроводом перебувало 124 сім’ї, в яких виховується 251 дитина та 14 осіб. У зв’язку із подоланням родинами складних життєвих обставин завершено соціальний супровід  6 осіб та 65 сімей, а також 4 сім’ї та 1 особа з негативним результатом соціального супроводу. </w:t>
      </w:r>
    </w:p>
    <w:p w:rsidR="001D7508" w:rsidRPr="00720DC2" w:rsidRDefault="00D22F47" w:rsidP="00D22F47">
      <w:pPr>
        <w:tabs>
          <w:tab w:val="left" w:pos="709"/>
        </w:tabs>
        <w:ind w:right="60"/>
        <w:jc w:val="both"/>
        <w:rPr>
          <w:lang w:val="uk-UA"/>
        </w:rPr>
      </w:pPr>
      <w:r>
        <w:rPr>
          <w:lang w:val="uk-UA"/>
        </w:rPr>
        <w:tab/>
      </w:r>
      <w:r w:rsidR="001D7508" w:rsidRPr="00720DC2">
        <w:rPr>
          <w:lang w:val="uk-UA"/>
        </w:rPr>
        <w:t>Соціальною роб</w:t>
      </w:r>
      <w:r w:rsidR="00BA36CD">
        <w:rPr>
          <w:lang w:val="uk-UA"/>
        </w:rPr>
        <w:t>отою охоплено  64 сім`ї та особи</w:t>
      </w:r>
      <w:r w:rsidR="001D7508" w:rsidRPr="00720DC2">
        <w:rPr>
          <w:lang w:val="uk-UA"/>
        </w:rPr>
        <w:t>,  члени яких беруть участь в АТО; сім’ї, в яких поранені або  загиблі  учасники АТО.  В ході роботи із сім'ями покращено психо-емоційний стан, поінформовано про санаторно-курортне  лікування, психологічну реабілітацію, оформлення пільг на оплату житлово-комунальних послуг, залучено дітей до змістовного дозвілля, здійснено сприяння в оздоровленні дітей. З метою підготовки документів для встановл</w:t>
      </w:r>
      <w:r w:rsidR="00BA36CD">
        <w:rPr>
          <w:lang w:val="uk-UA"/>
        </w:rPr>
        <w:t>ення статусу дітям, постраждалим</w:t>
      </w:r>
      <w:r w:rsidR="001D7508" w:rsidRPr="00720DC2">
        <w:rPr>
          <w:lang w:val="uk-UA"/>
        </w:rPr>
        <w:t xml:space="preserve"> від збройних </w:t>
      </w:r>
      <w:r w:rsidR="001D7508" w:rsidRPr="00720DC2">
        <w:rPr>
          <w:lang w:val="uk-UA"/>
        </w:rPr>
        <w:lastRenderedPageBreak/>
        <w:t>конфліктів</w:t>
      </w:r>
      <w:r w:rsidR="00BA36CD">
        <w:rPr>
          <w:lang w:val="uk-UA"/>
        </w:rPr>
        <w:t>,</w:t>
      </w:r>
      <w:r w:rsidR="001D7508" w:rsidRPr="00720DC2">
        <w:rPr>
          <w:lang w:val="uk-UA"/>
        </w:rPr>
        <w:t xml:space="preserve"> здійснено оцінки потреб 3 дітей із сімей загиблих учасників АТО.</w:t>
      </w:r>
    </w:p>
    <w:p w:rsidR="001D7508" w:rsidRPr="00720DC2" w:rsidRDefault="001D7508" w:rsidP="001D7508">
      <w:pPr>
        <w:ind w:right="60" w:firstLine="851"/>
        <w:jc w:val="both"/>
        <w:rPr>
          <w:lang w:val="uk-UA"/>
        </w:rPr>
      </w:pPr>
      <w:r w:rsidRPr="00720DC2">
        <w:rPr>
          <w:lang w:val="uk-UA"/>
        </w:rPr>
        <w:t xml:space="preserve">За звітний період фахівцями із соціальної роботи  здійснено 312 </w:t>
      </w:r>
      <w:r w:rsidR="00637D47">
        <w:rPr>
          <w:lang w:val="uk-UA"/>
        </w:rPr>
        <w:t>перевірок</w:t>
      </w:r>
      <w:r w:rsidRPr="00720DC2">
        <w:rPr>
          <w:lang w:val="uk-UA"/>
        </w:rPr>
        <w:t xml:space="preserve"> цільового використання коштів</w:t>
      </w:r>
      <w:r w:rsidR="00C01921">
        <w:rPr>
          <w:lang w:val="uk-UA"/>
        </w:rPr>
        <w:t>, отриманих</w:t>
      </w:r>
      <w:r w:rsidRPr="00720DC2">
        <w:rPr>
          <w:lang w:val="uk-UA"/>
        </w:rPr>
        <w:t xml:space="preserve"> при народженні дитини</w:t>
      </w:r>
      <w:r w:rsidR="00C01921">
        <w:rPr>
          <w:lang w:val="uk-UA"/>
        </w:rPr>
        <w:t>,</w:t>
      </w:r>
      <w:r w:rsidRPr="00720DC2">
        <w:rPr>
          <w:lang w:val="uk-UA"/>
        </w:rPr>
        <w:t xml:space="preserve"> та дано інформацію в департамент соціальної політики щодо припинення виплат 3 сім`ям.</w:t>
      </w:r>
    </w:p>
    <w:p w:rsidR="001D7508" w:rsidRPr="00720DC2" w:rsidRDefault="001D7508" w:rsidP="001D7508">
      <w:pPr>
        <w:ind w:right="60" w:firstLine="851"/>
        <w:jc w:val="both"/>
        <w:rPr>
          <w:lang w:val="uk-UA"/>
        </w:rPr>
      </w:pPr>
      <w:r w:rsidRPr="00720DC2">
        <w:rPr>
          <w:lang w:val="uk-UA"/>
        </w:rPr>
        <w:t xml:space="preserve">МЦСССДМ забезпечено соціальний супровід 14 прийомних сімей, в яких виховується 20 дітей (в т. ч. 2 сім'ї  вимушених переселенців) та  дитячого будинку сімейного типу (8 дітей) з числа внутрішньо переміщених осіб. </w:t>
      </w:r>
    </w:p>
    <w:p w:rsidR="001D7508" w:rsidRPr="00720DC2" w:rsidRDefault="001D7508" w:rsidP="001D7508">
      <w:pPr>
        <w:ind w:right="60" w:firstLine="851"/>
        <w:jc w:val="both"/>
        <w:rPr>
          <w:lang w:val="uk-UA"/>
        </w:rPr>
      </w:pPr>
      <w:r w:rsidRPr="00720DC2">
        <w:rPr>
          <w:lang w:val="uk-UA"/>
        </w:rPr>
        <w:t>Постійно проводиться робота із вдосконалення взаємодії прийомних дітей та прийомних батьків, підтримання взаємостосунків прийомних дітей з біологічними родичами (контакти по телефону з братами та сестрами, зустрічі з родичами), адаптації дітей до нових умов проживання, профорієнтації дітей та сприяння у вступі до професійно-технічних навчальних закладів тощо.</w:t>
      </w:r>
    </w:p>
    <w:p w:rsidR="001D7508" w:rsidRPr="00720DC2" w:rsidRDefault="00BC25C2" w:rsidP="001D7508">
      <w:pPr>
        <w:tabs>
          <w:tab w:val="left" w:pos="0"/>
        </w:tabs>
        <w:ind w:right="60" w:firstLine="851"/>
        <w:jc w:val="both"/>
        <w:rPr>
          <w:lang w:val="uk-UA"/>
        </w:rPr>
      </w:pPr>
      <w:r>
        <w:rPr>
          <w:lang w:val="uk-UA"/>
        </w:rPr>
        <w:t>Підготовлено</w:t>
      </w:r>
      <w:r w:rsidR="001D7508" w:rsidRPr="00720DC2">
        <w:rPr>
          <w:lang w:val="uk-UA"/>
        </w:rPr>
        <w:t xml:space="preserve"> пакет документів та прид</w:t>
      </w:r>
      <w:r>
        <w:rPr>
          <w:lang w:val="uk-UA"/>
        </w:rPr>
        <w:t>бано житло для особи з числа дітей-сиріт згідно П</w:t>
      </w:r>
      <w:r w:rsidR="001D7508" w:rsidRPr="00720DC2">
        <w:rPr>
          <w:lang w:val="uk-UA"/>
        </w:rPr>
        <w:t xml:space="preserve">останови Кабінету Міністрів України від 15.11.2017 р. №877 </w:t>
      </w:r>
      <w:r w:rsidR="001F05DA" w:rsidRPr="00720DC2">
        <w:rPr>
          <w:lang w:val="uk-UA"/>
        </w:rPr>
        <w:t>"</w:t>
      </w:r>
      <w:r w:rsidR="001D7508" w:rsidRPr="00720DC2">
        <w:rPr>
          <w:lang w:val="uk-UA"/>
        </w:rPr>
        <w:t>Про затвердження Порядку 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r w:rsidR="001F05DA" w:rsidRPr="00720DC2">
        <w:rPr>
          <w:lang w:val="uk-UA"/>
        </w:rPr>
        <w:t>"</w:t>
      </w:r>
      <w:r w:rsidR="001D7508" w:rsidRPr="00720DC2">
        <w:rPr>
          <w:lang w:val="uk-UA"/>
        </w:rPr>
        <w:t>.</w:t>
      </w:r>
    </w:p>
    <w:p w:rsidR="001D7508" w:rsidRPr="00720DC2" w:rsidRDefault="001D7508" w:rsidP="001D7508">
      <w:pPr>
        <w:ind w:firstLine="851"/>
        <w:jc w:val="both"/>
        <w:rPr>
          <w:lang w:val="uk-UA"/>
        </w:rPr>
      </w:pPr>
      <w:r w:rsidRPr="00720DC2">
        <w:rPr>
          <w:lang w:val="uk-UA"/>
        </w:rPr>
        <w:t xml:space="preserve">Восьмеро осіб з інвалідністю навчаються за </w:t>
      </w:r>
      <w:r w:rsidR="001F05DA" w:rsidRPr="00720DC2">
        <w:rPr>
          <w:lang w:val="uk-UA"/>
        </w:rPr>
        <w:t>"</w:t>
      </w:r>
      <w:r w:rsidRPr="00720DC2">
        <w:rPr>
          <w:lang w:val="uk-UA"/>
        </w:rPr>
        <w:t xml:space="preserve">Програмою заочного, дистанційного навчання студентів з особливими потребами на 2014-2018 роки у ВМУРоЛ </w:t>
      </w:r>
      <w:r w:rsidR="001F05DA" w:rsidRPr="00720DC2">
        <w:rPr>
          <w:lang w:val="uk-UA"/>
        </w:rPr>
        <w:t>"</w:t>
      </w:r>
      <w:r w:rsidRPr="00720DC2">
        <w:rPr>
          <w:lang w:val="uk-UA"/>
        </w:rPr>
        <w:t>Україна</w:t>
      </w:r>
      <w:r w:rsidR="001F05DA" w:rsidRPr="00720DC2">
        <w:rPr>
          <w:lang w:val="uk-UA"/>
        </w:rPr>
        <w:t>"</w:t>
      </w:r>
      <w:r w:rsidRPr="00720DC2">
        <w:rPr>
          <w:lang w:val="uk-UA"/>
        </w:rPr>
        <w:t xml:space="preserve"> на спеціальностях: </w:t>
      </w:r>
      <w:r w:rsidR="001F05DA" w:rsidRPr="00720DC2">
        <w:rPr>
          <w:lang w:val="uk-UA"/>
        </w:rPr>
        <w:t>"</w:t>
      </w:r>
      <w:r w:rsidRPr="00720DC2">
        <w:rPr>
          <w:lang w:val="uk-UA"/>
        </w:rPr>
        <w:t>Правознавство</w:t>
      </w:r>
      <w:r w:rsidR="001F05DA" w:rsidRPr="00720DC2">
        <w:rPr>
          <w:lang w:val="uk-UA"/>
        </w:rPr>
        <w:t>"</w:t>
      </w:r>
      <w:r w:rsidRPr="00720DC2">
        <w:rPr>
          <w:lang w:val="uk-UA"/>
        </w:rPr>
        <w:t xml:space="preserve">, </w:t>
      </w:r>
      <w:r w:rsidR="001F05DA" w:rsidRPr="00720DC2">
        <w:rPr>
          <w:lang w:val="uk-UA"/>
        </w:rPr>
        <w:t>"</w:t>
      </w:r>
      <w:r w:rsidRPr="00720DC2">
        <w:rPr>
          <w:lang w:val="uk-UA"/>
        </w:rPr>
        <w:t>Програмне забезпечення автоматизованих систем</w:t>
      </w:r>
      <w:r w:rsidR="001F05DA" w:rsidRPr="00720DC2">
        <w:rPr>
          <w:lang w:val="uk-UA"/>
        </w:rPr>
        <w:t>"</w:t>
      </w:r>
      <w:r w:rsidRPr="00720DC2">
        <w:rPr>
          <w:lang w:val="uk-UA"/>
        </w:rPr>
        <w:t xml:space="preserve">, </w:t>
      </w:r>
      <w:r w:rsidR="001F05DA" w:rsidRPr="00720DC2">
        <w:rPr>
          <w:lang w:val="uk-UA"/>
        </w:rPr>
        <w:t>"</w:t>
      </w:r>
      <w:r w:rsidRPr="00720DC2">
        <w:rPr>
          <w:lang w:val="uk-UA"/>
        </w:rPr>
        <w:t>Видавнича справа та редагування</w:t>
      </w:r>
      <w:r w:rsidR="001F05DA" w:rsidRPr="00720DC2">
        <w:rPr>
          <w:lang w:val="uk-UA"/>
        </w:rPr>
        <w:t>"</w:t>
      </w:r>
      <w:r w:rsidRPr="00720DC2">
        <w:rPr>
          <w:lang w:val="uk-UA"/>
        </w:rPr>
        <w:t xml:space="preserve">. </w:t>
      </w:r>
    </w:p>
    <w:p w:rsidR="001D7508" w:rsidRPr="00720DC2" w:rsidRDefault="001D7508" w:rsidP="001D7508">
      <w:pPr>
        <w:tabs>
          <w:tab w:val="num" w:pos="709"/>
        </w:tabs>
        <w:ind w:firstLine="851"/>
        <w:jc w:val="both"/>
        <w:rPr>
          <w:lang w:val="uk-UA"/>
        </w:rPr>
      </w:pPr>
      <w:r w:rsidRPr="00720DC2">
        <w:rPr>
          <w:lang w:val="uk-UA"/>
        </w:rPr>
        <w:t xml:space="preserve">Основними завданнями </w:t>
      </w:r>
      <w:r w:rsidR="001F05DA" w:rsidRPr="00720DC2">
        <w:rPr>
          <w:lang w:val="uk-UA"/>
        </w:rPr>
        <w:t>"</w:t>
      </w:r>
      <w:r w:rsidRPr="00720DC2">
        <w:rPr>
          <w:lang w:val="uk-UA"/>
        </w:rPr>
        <w:t>Служби соціально-профілактичної роботи</w:t>
      </w:r>
      <w:r w:rsidR="001F05DA" w:rsidRPr="00720DC2">
        <w:rPr>
          <w:lang w:val="uk-UA"/>
        </w:rPr>
        <w:t>"</w:t>
      </w:r>
      <w:r w:rsidRPr="00720DC2">
        <w:rPr>
          <w:lang w:val="uk-UA"/>
        </w:rPr>
        <w:t xml:space="preserve"> (ССПР) є зменшення шкоди для споживачів ін’єкційних наркотиків та запобігання поширенню ВІЛ – інфекції та СНІДу. </w:t>
      </w:r>
    </w:p>
    <w:p w:rsidR="001D7508" w:rsidRPr="00720DC2" w:rsidRDefault="001D7508" w:rsidP="001D7508">
      <w:pPr>
        <w:tabs>
          <w:tab w:val="left" w:pos="4500"/>
        </w:tabs>
        <w:ind w:firstLine="851"/>
        <w:jc w:val="both"/>
        <w:rPr>
          <w:lang w:val="uk-UA"/>
        </w:rPr>
      </w:pPr>
      <w:r w:rsidRPr="00720DC2">
        <w:rPr>
          <w:lang w:val="uk-UA"/>
        </w:rPr>
        <w:t xml:space="preserve">Впродовж 2018р. до ССПР звернулось 13 осіб - ін’єкційних споживачів наркотиків, яким надано інформаційні та консультативні послуги, та 8 осіб - яких торкнулась проблема ВІЛ-інфекції, з них 1 дитина. </w:t>
      </w:r>
    </w:p>
    <w:p w:rsidR="001D7508" w:rsidRPr="00720DC2" w:rsidRDefault="001D7508" w:rsidP="001D7508">
      <w:pPr>
        <w:ind w:firstLine="851"/>
        <w:jc w:val="both"/>
        <w:rPr>
          <w:lang w:val="uk-UA"/>
        </w:rPr>
      </w:pPr>
      <w:r w:rsidRPr="00720DC2">
        <w:rPr>
          <w:lang w:val="uk-UA"/>
        </w:rPr>
        <w:t xml:space="preserve">Івано–Франківський міський центр соціально–психологічної реабілітації дітей та молоді з функціональними обмеженнями </w:t>
      </w:r>
      <w:r w:rsidR="001F05DA" w:rsidRPr="00720DC2">
        <w:rPr>
          <w:lang w:val="uk-UA"/>
        </w:rPr>
        <w:t>"</w:t>
      </w:r>
      <w:r w:rsidRPr="00720DC2">
        <w:rPr>
          <w:lang w:val="uk-UA"/>
        </w:rPr>
        <w:t>Дивосвіт</w:t>
      </w:r>
      <w:r w:rsidR="001F05DA" w:rsidRPr="00720DC2">
        <w:rPr>
          <w:lang w:val="uk-UA"/>
        </w:rPr>
        <w:t>"</w:t>
      </w:r>
      <w:r w:rsidRPr="00720DC2">
        <w:rPr>
          <w:lang w:val="uk-UA"/>
        </w:rPr>
        <w:t xml:space="preserve"> забезпечує  денне перебування та одноразове харчування для 35 молодих осіб з інвалідністю. Діяльність центру спрямована на надання соціально – психологічної реабілітації, розвиток та підтримку соціальних навичок, соціальну адаптацію, залучення до громадського життя та фізичну реабілітацію осіб з розумовою відсталістю. Для забезпечення ефективного процесу реабіліт</w:t>
      </w:r>
      <w:r w:rsidR="00C5506E">
        <w:rPr>
          <w:lang w:val="uk-UA"/>
        </w:rPr>
        <w:t>ації фахівцями центру розроблено</w:t>
      </w:r>
      <w:r w:rsidRPr="00720DC2">
        <w:rPr>
          <w:lang w:val="uk-UA"/>
        </w:rPr>
        <w:t xml:space="preserve"> індивідуальну карту реабілітації для кожного відвідувача </w:t>
      </w:r>
      <w:r w:rsidR="001F05DA" w:rsidRPr="00720DC2">
        <w:rPr>
          <w:lang w:val="uk-UA"/>
        </w:rPr>
        <w:t>"</w:t>
      </w:r>
      <w:r w:rsidRPr="00720DC2">
        <w:rPr>
          <w:lang w:val="uk-UA"/>
        </w:rPr>
        <w:t>Дивосвіту</w:t>
      </w:r>
      <w:r w:rsidR="001F05DA" w:rsidRPr="00720DC2">
        <w:rPr>
          <w:lang w:val="uk-UA"/>
        </w:rPr>
        <w:t>"</w:t>
      </w:r>
      <w:r w:rsidRPr="00720DC2">
        <w:rPr>
          <w:lang w:val="uk-UA"/>
        </w:rPr>
        <w:t xml:space="preserve"> на основі рекомендацій МСЕК.</w:t>
      </w:r>
    </w:p>
    <w:p w:rsidR="001D7508" w:rsidRPr="00720DC2" w:rsidRDefault="001D7508" w:rsidP="001D7508">
      <w:pPr>
        <w:ind w:right="60"/>
        <w:jc w:val="both"/>
        <w:rPr>
          <w:lang w:val="uk-UA"/>
        </w:rPr>
      </w:pPr>
      <w:r w:rsidRPr="00720DC2">
        <w:rPr>
          <w:lang w:val="uk-UA"/>
        </w:rPr>
        <w:tab/>
        <w:t xml:space="preserve">Для батьків та опікунів дітей та молоді з особливими потребами організовано клуб </w:t>
      </w:r>
      <w:r w:rsidR="001F05DA" w:rsidRPr="00720DC2">
        <w:rPr>
          <w:lang w:val="uk-UA"/>
        </w:rPr>
        <w:t>"</w:t>
      </w:r>
      <w:r w:rsidRPr="00720DC2">
        <w:rPr>
          <w:lang w:val="uk-UA"/>
        </w:rPr>
        <w:t>Шанс</w:t>
      </w:r>
      <w:r w:rsidR="001F05DA" w:rsidRPr="00720DC2">
        <w:rPr>
          <w:lang w:val="uk-UA"/>
        </w:rPr>
        <w:t>"</w:t>
      </w:r>
      <w:r w:rsidRPr="00720DC2">
        <w:rPr>
          <w:lang w:val="uk-UA"/>
        </w:rPr>
        <w:t xml:space="preserve">, в межах якого проводяться зустрічі з працівниками центру, запрошеними фахівцями з медичної, юридичної та ін. </w:t>
      </w:r>
      <w:r w:rsidRPr="00720DC2">
        <w:rPr>
          <w:lang w:val="uk-UA"/>
        </w:rPr>
        <w:lastRenderedPageBreak/>
        <w:t>сфер д</w:t>
      </w:r>
      <w:r w:rsidR="00C5506E">
        <w:rPr>
          <w:lang w:val="uk-UA"/>
        </w:rPr>
        <w:t>іяльності, організовано майстер-</w:t>
      </w:r>
      <w:r w:rsidRPr="00720DC2">
        <w:rPr>
          <w:lang w:val="uk-UA"/>
        </w:rPr>
        <w:t>класи та терапевтичні бесіди з психологом.</w:t>
      </w:r>
    </w:p>
    <w:p w:rsidR="001D7508" w:rsidRPr="00720DC2" w:rsidRDefault="001D7508" w:rsidP="001D7508">
      <w:pPr>
        <w:ind w:right="60" w:firstLine="708"/>
        <w:jc w:val="both"/>
        <w:rPr>
          <w:lang w:val="uk-UA"/>
        </w:rPr>
      </w:pPr>
      <w:r w:rsidRPr="00720DC2">
        <w:rPr>
          <w:lang w:val="uk-UA"/>
        </w:rPr>
        <w:t xml:space="preserve">Діти та молодь забезпечуються щоденним одноразовим харчуванням.  </w:t>
      </w:r>
    </w:p>
    <w:p w:rsidR="001D7508" w:rsidRPr="00720DC2" w:rsidRDefault="001D7508" w:rsidP="001D7508">
      <w:pPr>
        <w:ind w:right="60"/>
        <w:jc w:val="both"/>
        <w:rPr>
          <w:lang w:val="uk-UA"/>
        </w:rPr>
      </w:pPr>
      <w:r w:rsidRPr="00720DC2">
        <w:rPr>
          <w:lang w:val="uk-UA"/>
        </w:rPr>
        <w:tab/>
        <w:t xml:space="preserve"> За 2018 рік відвідувачам та батькам людей з обмеженими можливостями  Центру "Диво</w:t>
      </w:r>
      <w:r w:rsidR="00923074">
        <w:rPr>
          <w:lang w:val="uk-UA"/>
        </w:rPr>
        <w:t>світ" надано 2113  індивідуальних</w:t>
      </w:r>
      <w:r w:rsidRPr="00720DC2">
        <w:rPr>
          <w:lang w:val="uk-UA"/>
        </w:rPr>
        <w:t xml:space="preserve"> послуги, в т.ч. 910 соціально – педагогічни</w:t>
      </w:r>
      <w:r w:rsidR="00923074">
        <w:rPr>
          <w:lang w:val="uk-UA"/>
        </w:rPr>
        <w:t>х,</w:t>
      </w:r>
      <w:r w:rsidRPr="00720DC2">
        <w:rPr>
          <w:lang w:val="uk-UA"/>
        </w:rPr>
        <w:t xml:space="preserve"> 446 соціально – психоло</w:t>
      </w:r>
      <w:r w:rsidR="00923074">
        <w:rPr>
          <w:lang w:val="uk-UA"/>
        </w:rPr>
        <w:t>гічних, 501 соціально - медичну та 256 інформативних. А також</w:t>
      </w:r>
      <w:r w:rsidRPr="00720DC2">
        <w:rPr>
          <w:lang w:val="uk-UA"/>
        </w:rPr>
        <w:t xml:space="preserve"> 636 групових послуг, в </w:t>
      </w:r>
      <w:r w:rsidR="00923074">
        <w:rPr>
          <w:lang w:val="uk-UA"/>
        </w:rPr>
        <w:t>т.ч. 313 соціально – педагогічних</w:t>
      </w:r>
      <w:r w:rsidRPr="00720DC2">
        <w:rPr>
          <w:lang w:val="uk-UA"/>
        </w:rPr>
        <w:t>, 175 психологічних та 148 соціально - медичних.</w:t>
      </w:r>
    </w:p>
    <w:p w:rsidR="001D7508" w:rsidRPr="00720DC2" w:rsidRDefault="001D7508" w:rsidP="001D7508">
      <w:pPr>
        <w:ind w:right="60"/>
        <w:jc w:val="both"/>
        <w:rPr>
          <w:lang w:val="uk-UA"/>
        </w:rPr>
      </w:pPr>
      <w:r w:rsidRPr="00720DC2">
        <w:rPr>
          <w:lang w:val="uk-UA"/>
        </w:rPr>
        <w:tab/>
        <w:t xml:space="preserve">МЦСССДМ та ЦСПРДМФО </w:t>
      </w:r>
      <w:r w:rsidR="001F05DA" w:rsidRPr="00720DC2">
        <w:rPr>
          <w:lang w:val="uk-UA"/>
        </w:rPr>
        <w:t>"</w:t>
      </w:r>
      <w:r w:rsidRPr="00720DC2">
        <w:rPr>
          <w:lang w:val="uk-UA"/>
        </w:rPr>
        <w:t>Дивосвіт</w:t>
      </w:r>
      <w:r w:rsidR="001F05DA" w:rsidRPr="00720DC2">
        <w:rPr>
          <w:lang w:val="uk-UA"/>
        </w:rPr>
        <w:t>"</w:t>
      </w:r>
      <w:r w:rsidRPr="00720DC2">
        <w:rPr>
          <w:lang w:val="uk-UA"/>
        </w:rPr>
        <w:t xml:space="preserve"> </w:t>
      </w:r>
      <w:r w:rsidR="008600DE">
        <w:rPr>
          <w:lang w:val="uk-UA"/>
        </w:rPr>
        <w:t xml:space="preserve">користуються тарснопортними послугами </w:t>
      </w:r>
      <w:r w:rsidR="001F05DA" w:rsidRPr="00720DC2">
        <w:rPr>
          <w:lang w:val="uk-UA"/>
        </w:rPr>
        <w:t>"</w:t>
      </w:r>
      <w:r w:rsidRPr="00720DC2">
        <w:rPr>
          <w:lang w:val="uk-UA"/>
        </w:rPr>
        <w:t>Соціальне таксі</w:t>
      </w:r>
      <w:r w:rsidR="001F05DA" w:rsidRPr="00720DC2">
        <w:rPr>
          <w:lang w:val="uk-UA"/>
        </w:rPr>
        <w:t>"</w:t>
      </w:r>
      <w:r w:rsidRPr="00720DC2">
        <w:rPr>
          <w:lang w:val="uk-UA"/>
        </w:rPr>
        <w:t>.</w:t>
      </w:r>
    </w:p>
    <w:p w:rsidR="001D7508" w:rsidRPr="00720DC2" w:rsidRDefault="001D7508" w:rsidP="001D7508">
      <w:pPr>
        <w:tabs>
          <w:tab w:val="left" w:pos="709"/>
          <w:tab w:val="left" w:pos="1560"/>
        </w:tabs>
        <w:ind w:right="60" w:firstLine="360"/>
        <w:jc w:val="both"/>
        <w:rPr>
          <w:lang w:val="uk-UA"/>
        </w:rPr>
      </w:pPr>
    </w:p>
    <w:p w:rsidR="00183E22" w:rsidRPr="00720DC2" w:rsidRDefault="00183E22" w:rsidP="00183E22">
      <w:pPr>
        <w:pStyle w:val="a7"/>
        <w:numPr>
          <w:ilvl w:val="1"/>
          <w:numId w:val="13"/>
        </w:numPr>
        <w:tabs>
          <w:tab w:val="left" w:pos="709"/>
        </w:tabs>
        <w:spacing w:after="0"/>
        <w:ind w:left="1134"/>
        <w:jc w:val="both"/>
        <w:outlineLvl w:val="0"/>
        <w:rPr>
          <w:i/>
          <w:sz w:val="28"/>
          <w:szCs w:val="28"/>
          <w:lang w:val="uk-UA"/>
        </w:rPr>
      </w:pPr>
      <w:r w:rsidRPr="00720DC2">
        <w:rPr>
          <w:i/>
          <w:sz w:val="28"/>
          <w:szCs w:val="28"/>
          <w:lang w:val="uk-UA"/>
        </w:rPr>
        <w:t>Культура</w:t>
      </w:r>
    </w:p>
    <w:p w:rsidR="00004FDE" w:rsidRPr="00720DC2" w:rsidRDefault="00004FDE" w:rsidP="00004FDE">
      <w:pPr>
        <w:ind w:firstLine="567"/>
        <w:jc w:val="both"/>
        <w:rPr>
          <w:rFonts w:cs="Times New Roman"/>
          <w:lang w:val="uk-UA"/>
        </w:rPr>
      </w:pPr>
      <w:r w:rsidRPr="00720DC2">
        <w:rPr>
          <w:rFonts w:cs="Times New Roman"/>
          <w:color w:val="000000"/>
          <w:lang w:val="uk-UA"/>
        </w:rPr>
        <w:t xml:space="preserve">Протягом 2018 року в місті було проведено низку культурно-мистецьких заходів – фестивалів, конкурсів, концертів, творчих звітів, розважальних заходів та дитячих ранків. </w:t>
      </w:r>
      <w:r w:rsidRPr="00720DC2">
        <w:rPr>
          <w:rFonts w:cs="Times New Roman"/>
          <w:lang w:val="uk-UA"/>
        </w:rPr>
        <w:t xml:space="preserve">За звітний період відбувалися і загальноміські масові заходи до відзначення державних і релігійних свят, пам’ятних та ювілейних дат. Особливий акцент під час організації масових заходів приділявся роботі з дітьми та людьми похилого, </w:t>
      </w:r>
      <w:r w:rsidR="00D4778A" w:rsidRPr="00720DC2">
        <w:rPr>
          <w:rFonts w:cs="Times New Roman"/>
          <w:lang w:val="uk-UA"/>
        </w:rPr>
        <w:t>"</w:t>
      </w:r>
      <w:r w:rsidRPr="00720DC2">
        <w:rPr>
          <w:rFonts w:cs="Times New Roman"/>
          <w:lang w:val="uk-UA"/>
        </w:rPr>
        <w:t>золотого</w:t>
      </w:r>
      <w:r w:rsidR="00D4778A" w:rsidRPr="00720DC2">
        <w:rPr>
          <w:rFonts w:cs="Times New Roman"/>
          <w:lang w:val="uk-UA"/>
        </w:rPr>
        <w:t>"</w:t>
      </w:r>
      <w:r w:rsidRPr="00720DC2">
        <w:rPr>
          <w:rFonts w:cs="Times New Roman"/>
          <w:lang w:val="uk-UA"/>
        </w:rPr>
        <w:t xml:space="preserve"> віку. </w:t>
      </w:r>
    </w:p>
    <w:p w:rsidR="00004FDE" w:rsidRPr="00720DC2" w:rsidRDefault="00004FDE" w:rsidP="00004FDE">
      <w:pPr>
        <w:pStyle w:val="ac"/>
        <w:ind w:firstLine="567"/>
        <w:jc w:val="both"/>
        <w:rPr>
          <w:rFonts w:ascii="Times New Roman" w:hAnsi="Times New Roman"/>
          <w:lang w:val="uk-UA"/>
        </w:rPr>
      </w:pPr>
      <w:r w:rsidRPr="00720DC2">
        <w:rPr>
          <w:rFonts w:ascii="Times New Roman" w:hAnsi="Times New Roman"/>
          <w:lang w:val="uk-UA"/>
        </w:rPr>
        <w:t>Серед кращих мистецьких проектів 2018 року слід відмітити наступні:</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IХ Різдвяний фестиваль </w:t>
      </w:r>
      <w:r w:rsidR="00D4778A" w:rsidRPr="00720DC2">
        <w:rPr>
          <w:sz w:val="28"/>
          <w:szCs w:val="28"/>
          <w:lang w:val="uk-UA"/>
        </w:rPr>
        <w:t>"</w:t>
      </w:r>
      <w:r w:rsidRPr="00720DC2">
        <w:rPr>
          <w:sz w:val="28"/>
          <w:szCs w:val="28"/>
          <w:lang w:val="uk-UA"/>
        </w:rPr>
        <w:t>Коляда на Майзлях</w:t>
      </w:r>
      <w:r w:rsidR="00D4778A" w:rsidRPr="00720DC2">
        <w:rPr>
          <w:sz w:val="28"/>
          <w:szCs w:val="28"/>
          <w:lang w:val="uk-UA"/>
        </w:rPr>
        <w:t>"</w:t>
      </w:r>
      <w:r w:rsidRPr="00720DC2">
        <w:rPr>
          <w:sz w:val="28"/>
          <w:szCs w:val="28"/>
          <w:lang w:val="uk-UA"/>
        </w:rPr>
        <w:t xml:space="preserve"> (січень);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різдвяний  фестиваль  </w:t>
      </w:r>
      <w:r w:rsidR="00D4778A" w:rsidRPr="00720DC2">
        <w:rPr>
          <w:sz w:val="28"/>
          <w:szCs w:val="28"/>
          <w:lang w:val="uk-UA"/>
        </w:rPr>
        <w:t>"</w:t>
      </w:r>
      <w:r w:rsidRPr="00720DC2">
        <w:rPr>
          <w:sz w:val="28"/>
          <w:szCs w:val="28"/>
          <w:lang w:val="uk-UA"/>
        </w:rPr>
        <w:t>Різдво у Франківську</w:t>
      </w:r>
      <w:r w:rsidR="00D4778A" w:rsidRPr="00720DC2">
        <w:rPr>
          <w:sz w:val="28"/>
          <w:szCs w:val="28"/>
          <w:lang w:val="uk-UA"/>
        </w:rPr>
        <w:t>"</w:t>
      </w:r>
      <w:r w:rsidRPr="00720DC2">
        <w:rPr>
          <w:sz w:val="28"/>
          <w:szCs w:val="28"/>
          <w:lang w:val="uk-UA"/>
        </w:rPr>
        <w:t xml:space="preserve"> (січень);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святкове дійство </w:t>
      </w:r>
      <w:r w:rsidR="00D4778A" w:rsidRPr="00720DC2">
        <w:rPr>
          <w:sz w:val="28"/>
          <w:szCs w:val="28"/>
          <w:lang w:val="uk-UA"/>
        </w:rPr>
        <w:t>"</w:t>
      </w:r>
      <w:r w:rsidRPr="00720DC2">
        <w:rPr>
          <w:sz w:val="28"/>
          <w:szCs w:val="28"/>
          <w:lang w:val="uk-UA"/>
        </w:rPr>
        <w:t>Розколяда</w:t>
      </w:r>
      <w:r w:rsidR="00D4778A" w:rsidRPr="00720DC2">
        <w:rPr>
          <w:sz w:val="28"/>
          <w:szCs w:val="28"/>
          <w:lang w:val="uk-UA"/>
        </w:rPr>
        <w:t>"</w:t>
      </w:r>
      <w:r w:rsidRPr="00720DC2">
        <w:rPr>
          <w:sz w:val="28"/>
          <w:szCs w:val="28"/>
          <w:lang w:val="uk-UA"/>
        </w:rPr>
        <w:t xml:space="preserve"> (січень);</w:t>
      </w:r>
    </w:p>
    <w:p w:rsidR="00004FDE" w:rsidRPr="00720DC2" w:rsidRDefault="00004FDE" w:rsidP="009C4F49">
      <w:pPr>
        <w:pStyle w:val="af1"/>
        <w:numPr>
          <w:ilvl w:val="0"/>
          <w:numId w:val="19"/>
        </w:numPr>
        <w:ind w:left="426" w:hanging="426"/>
        <w:rPr>
          <w:sz w:val="28"/>
          <w:szCs w:val="28"/>
          <w:lang w:val="uk-UA"/>
        </w:rPr>
      </w:pPr>
      <w:r w:rsidRPr="00720DC2">
        <w:rPr>
          <w:sz w:val="28"/>
          <w:szCs w:val="28"/>
          <w:lang w:val="uk-UA" w:eastAsia="uk-UA"/>
        </w:rPr>
        <w:t xml:space="preserve">Третій </w:t>
      </w:r>
      <w:r w:rsidRPr="00720DC2">
        <w:rPr>
          <w:sz w:val="28"/>
          <w:szCs w:val="28"/>
          <w:shd w:val="clear" w:color="auto" w:fill="FFFFFF"/>
          <w:lang w:val="uk-UA" w:eastAsia="uk-UA"/>
        </w:rPr>
        <w:t>Регіональний дитячий фестиваль хорової музики</w:t>
      </w:r>
      <w:r w:rsidRPr="00720DC2">
        <w:rPr>
          <w:sz w:val="28"/>
          <w:szCs w:val="28"/>
          <w:lang w:val="uk-UA"/>
        </w:rPr>
        <w:t xml:space="preserve"> </w:t>
      </w:r>
      <w:r w:rsidR="00D4778A" w:rsidRPr="00720DC2">
        <w:rPr>
          <w:sz w:val="28"/>
          <w:szCs w:val="28"/>
          <w:lang w:val="uk-UA"/>
        </w:rPr>
        <w:t>"</w:t>
      </w:r>
      <w:r w:rsidRPr="00720DC2">
        <w:rPr>
          <w:sz w:val="28"/>
          <w:szCs w:val="28"/>
          <w:lang w:val="uk-UA"/>
        </w:rPr>
        <w:t>Передзвін</w:t>
      </w:r>
      <w:r w:rsidR="00D4778A" w:rsidRPr="00720DC2">
        <w:rPr>
          <w:sz w:val="28"/>
          <w:szCs w:val="28"/>
          <w:lang w:val="uk-UA"/>
        </w:rPr>
        <w:t>"</w:t>
      </w:r>
      <w:r w:rsidRPr="00720DC2">
        <w:rPr>
          <w:sz w:val="28"/>
          <w:szCs w:val="28"/>
          <w:lang w:val="uk-UA"/>
        </w:rPr>
        <w:t xml:space="preserve"> (квітень);</w:t>
      </w:r>
    </w:p>
    <w:p w:rsidR="00004FDE" w:rsidRPr="00720DC2" w:rsidRDefault="00004FDE" w:rsidP="009C4F49">
      <w:pPr>
        <w:pStyle w:val="af1"/>
        <w:numPr>
          <w:ilvl w:val="0"/>
          <w:numId w:val="19"/>
        </w:numPr>
        <w:ind w:left="426" w:hanging="426"/>
        <w:jc w:val="both"/>
        <w:rPr>
          <w:rStyle w:val="a9"/>
          <w:rFonts w:eastAsiaTheme="majorEastAsia"/>
          <w:b w:val="0"/>
          <w:bCs w:val="0"/>
          <w:sz w:val="28"/>
          <w:szCs w:val="28"/>
          <w:lang w:val="uk-UA"/>
        </w:rPr>
      </w:pPr>
      <w:r w:rsidRPr="00720DC2">
        <w:rPr>
          <w:rStyle w:val="a9"/>
          <w:rFonts w:eastAsiaTheme="majorEastAsia"/>
          <w:b w:val="0"/>
          <w:sz w:val="28"/>
          <w:szCs w:val="28"/>
          <w:shd w:val="clear" w:color="auto" w:fill="FFFFFF"/>
          <w:lang w:val="uk-UA"/>
        </w:rPr>
        <w:t xml:space="preserve">Міжнародний мистецький фестиваль країн Карпатського регіону </w:t>
      </w:r>
      <w:r w:rsidR="00D4778A" w:rsidRPr="00720DC2">
        <w:rPr>
          <w:rStyle w:val="a9"/>
          <w:rFonts w:eastAsiaTheme="majorEastAsia"/>
          <w:b w:val="0"/>
          <w:sz w:val="28"/>
          <w:szCs w:val="28"/>
          <w:shd w:val="clear" w:color="auto" w:fill="FFFFFF"/>
          <w:lang w:val="uk-UA"/>
        </w:rPr>
        <w:t>"</w:t>
      </w:r>
      <w:r w:rsidRPr="00720DC2">
        <w:rPr>
          <w:rStyle w:val="a9"/>
          <w:rFonts w:eastAsiaTheme="majorEastAsia"/>
          <w:b w:val="0"/>
          <w:sz w:val="28"/>
          <w:szCs w:val="28"/>
          <w:shd w:val="clear" w:color="auto" w:fill="FFFFFF"/>
          <w:lang w:val="uk-UA"/>
        </w:rPr>
        <w:t>Carpathian Space</w:t>
      </w:r>
      <w:r w:rsidR="00D4778A" w:rsidRPr="00720DC2">
        <w:rPr>
          <w:rStyle w:val="a9"/>
          <w:rFonts w:eastAsiaTheme="majorEastAsia"/>
          <w:b w:val="0"/>
          <w:sz w:val="28"/>
          <w:szCs w:val="28"/>
          <w:shd w:val="clear" w:color="auto" w:fill="FFFFFF"/>
          <w:lang w:val="uk-UA"/>
        </w:rPr>
        <w:t>"</w:t>
      </w:r>
      <w:r w:rsidRPr="00720DC2">
        <w:rPr>
          <w:sz w:val="28"/>
          <w:szCs w:val="28"/>
          <w:lang w:val="uk-UA"/>
        </w:rPr>
        <w:t xml:space="preserve"> за участю відомих українських та зарубіжних гуртів   </w:t>
      </w:r>
      <w:r w:rsidR="00D4778A" w:rsidRPr="00720DC2">
        <w:rPr>
          <w:sz w:val="28"/>
          <w:szCs w:val="28"/>
          <w:lang w:val="uk-UA"/>
        </w:rPr>
        <w:t>"</w:t>
      </w:r>
      <w:r w:rsidRPr="00720DC2">
        <w:rPr>
          <w:sz w:val="28"/>
          <w:szCs w:val="28"/>
          <w:lang w:val="uk-UA"/>
        </w:rPr>
        <w:t>Друга ріка</w:t>
      </w:r>
      <w:r w:rsidR="00D4778A" w:rsidRPr="00720DC2">
        <w:rPr>
          <w:sz w:val="28"/>
          <w:szCs w:val="28"/>
          <w:lang w:val="uk-UA"/>
        </w:rPr>
        <w:t>"</w:t>
      </w:r>
      <w:r w:rsidRPr="00720DC2">
        <w:rPr>
          <w:sz w:val="28"/>
          <w:szCs w:val="28"/>
          <w:lang w:val="uk-UA"/>
        </w:rPr>
        <w:t xml:space="preserve">, </w:t>
      </w:r>
      <w:r w:rsidR="00D4778A" w:rsidRPr="00720DC2">
        <w:rPr>
          <w:sz w:val="28"/>
          <w:szCs w:val="28"/>
          <w:lang w:val="uk-UA"/>
        </w:rPr>
        <w:t>"</w:t>
      </w:r>
      <w:r w:rsidRPr="00720DC2">
        <w:rPr>
          <w:sz w:val="28"/>
          <w:szCs w:val="28"/>
          <w:lang w:val="uk-UA"/>
        </w:rPr>
        <w:t>Танок на майдані Конго</w:t>
      </w:r>
      <w:r w:rsidR="00D4778A" w:rsidRPr="00720DC2">
        <w:rPr>
          <w:sz w:val="28"/>
          <w:szCs w:val="28"/>
          <w:lang w:val="uk-UA"/>
        </w:rPr>
        <w:t>"</w:t>
      </w:r>
      <w:r w:rsidRPr="00720DC2">
        <w:rPr>
          <w:sz w:val="28"/>
          <w:szCs w:val="28"/>
          <w:lang w:val="uk-UA"/>
        </w:rPr>
        <w:t xml:space="preserve">, швейцарського гурту </w:t>
      </w:r>
      <w:r w:rsidR="00D4778A" w:rsidRPr="00720DC2">
        <w:rPr>
          <w:sz w:val="28"/>
          <w:szCs w:val="28"/>
          <w:lang w:val="uk-UA"/>
        </w:rPr>
        <w:t>"</w:t>
      </w:r>
      <w:r w:rsidRPr="00720DC2">
        <w:rPr>
          <w:sz w:val="28"/>
          <w:szCs w:val="28"/>
          <w:lang w:val="uk-UA"/>
        </w:rPr>
        <w:t>Кадебостані</w:t>
      </w:r>
      <w:r w:rsidR="00D4778A" w:rsidRPr="00720DC2">
        <w:rPr>
          <w:sz w:val="28"/>
          <w:szCs w:val="28"/>
          <w:lang w:val="uk-UA"/>
        </w:rPr>
        <w:t>"</w:t>
      </w:r>
      <w:r w:rsidRPr="00720DC2">
        <w:rPr>
          <w:sz w:val="28"/>
          <w:szCs w:val="28"/>
          <w:lang w:val="uk-UA"/>
        </w:rPr>
        <w:t xml:space="preserve"> (травень);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фестиваль </w:t>
      </w:r>
      <w:r w:rsidR="00D4778A" w:rsidRPr="00720DC2">
        <w:rPr>
          <w:sz w:val="28"/>
          <w:szCs w:val="28"/>
          <w:lang w:val="uk-UA"/>
        </w:rPr>
        <w:t>"</w:t>
      </w:r>
      <w:r w:rsidRPr="00720DC2">
        <w:rPr>
          <w:sz w:val="28"/>
          <w:szCs w:val="28"/>
          <w:lang w:val="uk-UA"/>
        </w:rPr>
        <w:t>Івано-Франківськ – місто для життя</w:t>
      </w:r>
      <w:r w:rsidR="00D4778A" w:rsidRPr="00720DC2">
        <w:rPr>
          <w:sz w:val="28"/>
          <w:szCs w:val="28"/>
          <w:lang w:val="uk-UA"/>
        </w:rPr>
        <w:t>"</w:t>
      </w:r>
      <w:r w:rsidRPr="00720DC2">
        <w:rPr>
          <w:sz w:val="28"/>
          <w:szCs w:val="28"/>
          <w:lang w:val="uk-UA"/>
        </w:rPr>
        <w:t xml:space="preserve"> за участю симфонічного рок-оркестру </w:t>
      </w:r>
      <w:r w:rsidR="00D4778A" w:rsidRPr="00720DC2">
        <w:rPr>
          <w:sz w:val="28"/>
          <w:szCs w:val="28"/>
          <w:lang w:val="uk-UA"/>
        </w:rPr>
        <w:t>"</w:t>
      </w:r>
      <w:r w:rsidRPr="00720DC2">
        <w:rPr>
          <w:sz w:val="28"/>
          <w:szCs w:val="28"/>
          <w:lang w:val="uk-UA"/>
        </w:rPr>
        <w:t>Бревіс</w:t>
      </w:r>
      <w:r w:rsidR="00D4778A" w:rsidRPr="00720DC2">
        <w:rPr>
          <w:sz w:val="28"/>
          <w:szCs w:val="28"/>
          <w:lang w:val="uk-UA"/>
        </w:rPr>
        <w:t>"</w:t>
      </w:r>
      <w:r w:rsidRPr="00720DC2">
        <w:rPr>
          <w:sz w:val="28"/>
          <w:szCs w:val="28"/>
          <w:lang w:val="uk-UA"/>
        </w:rPr>
        <w:t xml:space="preserve"> з м.Рівного (травень);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фестиваль </w:t>
      </w:r>
      <w:r w:rsidR="00D4778A" w:rsidRPr="00720DC2">
        <w:rPr>
          <w:sz w:val="28"/>
          <w:szCs w:val="28"/>
          <w:lang w:val="uk-UA"/>
        </w:rPr>
        <w:t>"</w:t>
      </w:r>
      <w:r w:rsidRPr="00720DC2">
        <w:rPr>
          <w:sz w:val="28"/>
          <w:szCs w:val="28"/>
          <w:lang w:val="uk-UA"/>
        </w:rPr>
        <w:t>Мамина пісня</w:t>
      </w:r>
      <w:r w:rsidR="00D4778A" w:rsidRPr="00720DC2">
        <w:rPr>
          <w:sz w:val="28"/>
          <w:szCs w:val="28"/>
          <w:lang w:val="uk-UA"/>
        </w:rPr>
        <w:t>"</w:t>
      </w:r>
      <w:r w:rsidRPr="00720DC2">
        <w:rPr>
          <w:sz w:val="28"/>
          <w:szCs w:val="28"/>
          <w:lang w:val="uk-UA"/>
        </w:rPr>
        <w:t xml:space="preserve"> (травень);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V фестиваль мистецтв </w:t>
      </w:r>
      <w:r w:rsidR="00D4778A" w:rsidRPr="00720DC2">
        <w:rPr>
          <w:sz w:val="28"/>
          <w:szCs w:val="28"/>
          <w:lang w:val="uk-UA"/>
        </w:rPr>
        <w:t>"</w:t>
      </w:r>
      <w:r w:rsidRPr="00720DC2">
        <w:rPr>
          <w:sz w:val="28"/>
          <w:szCs w:val="28"/>
          <w:lang w:val="uk-UA"/>
        </w:rPr>
        <w:t>Мелодії парку</w:t>
      </w:r>
      <w:r w:rsidR="00D4778A" w:rsidRPr="00720DC2">
        <w:rPr>
          <w:sz w:val="28"/>
          <w:szCs w:val="28"/>
          <w:lang w:val="uk-UA"/>
        </w:rPr>
        <w:t>"</w:t>
      </w:r>
      <w:r w:rsidRPr="00720DC2">
        <w:rPr>
          <w:sz w:val="28"/>
          <w:szCs w:val="28"/>
          <w:lang w:val="uk-UA"/>
        </w:rPr>
        <w:t xml:space="preserve"> (травень-жовтень);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фестиваль мистецтв </w:t>
      </w:r>
      <w:r w:rsidR="00D4778A" w:rsidRPr="00720DC2">
        <w:rPr>
          <w:sz w:val="28"/>
          <w:szCs w:val="28"/>
          <w:lang w:val="uk-UA"/>
        </w:rPr>
        <w:t>"</w:t>
      </w:r>
      <w:r w:rsidRPr="00720DC2">
        <w:rPr>
          <w:sz w:val="28"/>
          <w:szCs w:val="28"/>
          <w:lang w:val="uk-UA"/>
        </w:rPr>
        <w:t>Купальська ніч</w:t>
      </w:r>
      <w:r w:rsidR="00D4778A" w:rsidRPr="00720DC2">
        <w:rPr>
          <w:sz w:val="28"/>
          <w:szCs w:val="28"/>
          <w:lang w:val="uk-UA"/>
        </w:rPr>
        <w:t>"</w:t>
      </w:r>
      <w:r w:rsidRPr="00720DC2">
        <w:rPr>
          <w:sz w:val="28"/>
          <w:szCs w:val="28"/>
          <w:lang w:val="uk-UA"/>
        </w:rPr>
        <w:t xml:space="preserve"> (липень);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концерт за участю Національного заслуженого академічного народного хору України імені Григорія Верьовки та гурту </w:t>
      </w:r>
      <w:r w:rsidR="00D4778A" w:rsidRPr="00720DC2">
        <w:rPr>
          <w:sz w:val="28"/>
          <w:szCs w:val="28"/>
          <w:lang w:val="uk-UA"/>
        </w:rPr>
        <w:t>"</w:t>
      </w:r>
      <w:r w:rsidRPr="00720DC2">
        <w:rPr>
          <w:sz w:val="28"/>
          <w:szCs w:val="28"/>
          <w:lang w:val="uk-UA"/>
        </w:rPr>
        <w:t>Плач Єремії</w:t>
      </w:r>
      <w:r w:rsidR="00D4778A" w:rsidRPr="00720DC2">
        <w:rPr>
          <w:sz w:val="28"/>
          <w:szCs w:val="28"/>
          <w:lang w:val="uk-UA"/>
        </w:rPr>
        <w:t>"</w:t>
      </w:r>
      <w:r w:rsidRPr="00720DC2">
        <w:rPr>
          <w:sz w:val="28"/>
          <w:szCs w:val="28"/>
          <w:lang w:val="uk-UA"/>
        </w:rPr>
        <w:t xml:space="preserve"> (серпень);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фестиваль </w:t>
      </w:r>
      <w:r w:rsidR="00D4778A" w:rsidRPr="00720DC2">
        <w:rPr>
          <w:sz w:val="28"/>
          <w:szCs w:val="28"/>
          <w:lang w:val="uk-UA"/>
        </w:rPr>
        <w:t>"</w:t>
      </w:r>
      <w:r w:rsidRPr="00720DC2">
        <w:rPr>
          <w:sz w:val="28"/>
          <w:szCs w:val="28"/>
          <w:lang w:val="uk-UA"/>
        </w:rPr>
        <w:t>Каскад-ФЕСТ</w:t>
      </w:r>
      <w:r w:rsidR="00D4778A" w:rsidRPr="00720DC2">
        <w:rPr>
          <w:sz w:val="28"/>
          <w:szCs w:val="28"/>
          <w:lang w:val="uk-UA"/>
        </w:rPr>
        <w:t>"</w:t>
      </w:r>
      <w:r w:rsidRPr="00720DC2">
        <w:rPr>
          <w:sz w:val="28"/>
          <w:szCs w:val="28"/>
          <w:lang w:val="uk-UA"/>
        </w:rPr>
        <w:t xml:space="preserve"> (вересень);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eastAsia="uk-UA"/>
        </w:rPr>
        <w:t xml:space="preserve">день гуцульської культури </w:t>
      </w:r>
      <w:r w:rsidR="00D4778A" w:rsidRPr="00720DC2">
        <w:rPr>
          <w:sz w:val="28"/>
          <w:szCs w:val="28"/>
          <w:lang w:val="uk-UA" w:eastAsia="uk-UA"/>
        </w:rPr>
        <w:t>"</w:t>
      </w:r>
      <w:r w:rsidRPr="00720DC2">
        <w:rPr>
          <w:sz w:val="28"/>
          <w:szCs w:val="28"/>
          <w:lang w:val="uk-UA" w:eastAsia="uk-UA"/>
        </w:rPr>
        <w:t>Верховина в Івано-Франківську</w:t>
      </w:r>
      <w:r w:rsidR="00D4778A" w:rsidRPr="00720DC2">
        <w:rPr>
          <w:sz w:val="28"/>
          <w:szCs w:val="28"/>
          <w:lang w:val="uk-UA" w:eastAsia="uk-UA"/>
        </w:rPr>
        <w:t>"</w:t>
      </w:r>
      <w:r w:rsidRPr="00720DC2">
        <w:rPr>
          <w:sz w:val="28"/>
          <w:szCs w:val="28"/>
          <w:lang w:val="uk-UA"/>
        </w:rPr>
        <w:t xml:space="preserve"> (вересень);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фестиваль </w:t>
      </w:r>
      <w:r w:rsidR="00D4778A" w:rsidRPr="00720DC2">
        <w:rPr>
          <w:sz w:val="28"/>
          <w:szCs w:val="28"/>
          <w:lang w:val="uk-UA"/>
        </w:rPr>
        <w:t>"</w:t>
      </w:r>
      <w:r w:rsidRPr="00720DC2">
        <w:rPr>
          <w:sz w:val="28"/>
          <w:szCs w:val="28"/>
          <w:lang w:val="uk-UA"/>
        </w:rPr>
        <w:t>Все українське на новий лад</w:t>
      </w:r>
      <w:r w:rsidR="00D4778A" w:rsidRPr="00720DC2">
        <w:rPr>
          <w:sz w:val="28"/>
          <w:szCs w:val="28"/>
          <w:lang w:val="uk-UA"/>
        </w:rPr>
        <w:t>"</w:t>
      </w:r>
      <w:r w:rsidRPr="00720DC2">
        <w:rPr>
          <w:sz w:val="28"/>
          <w:szCs w:val="28"/>
          <w:lang w:val="uk-UA"/>
        </w:rPr>
        <w:t xml:space="preserve"> (серпень);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 xml:space="preserve">ІІ фестиваль весільно-ресторанної музики </w:t>
      </w:r>
      <w:r w:rsidR="00D4778A" w:rsidRPr="00720DC2">
        <w:rPr>
          <w:sz w:val="28"/>
          <w:szCs w:val="28"/>
          <w:lang w:val="uk-UA"/>
        </w:rPr>
        <w:t>"</w:t>
      </w:r>
      <w:r w:rsidRPr="00720DC2">
        <w:rPr>
          <w:sz w:val="28"/>
          <w:szCs w:val="28"/>
          <w:lang w:val="uk-UA"/>
        </w:rPr>
        <w:t>Лабух-Фест</w:t>
      </w:r>
      <w:r w:rsidR="00D4778A" w:rsidRPr="00720DC2">
        <w:rPr>
          <w:sz w:val="28"/>
          <w:szCs w:val="28"/>
          <w:lang w:val="uk-UA"/>
        </w:rPr>
        <w:t>"</w:t>
      </w:r>
      <w:r w:rsidRPr="00720DC2">
        <w:rPr>
          <w:sz w:val="28"/>
          <w:szCs w:val="28"/>
          <w:lang w:val="uk-UA"/>
        </w:rPr>
        <w:t xml:space="preserve"> (серпень);</w:t>
      </w:r>
    </w:p>
    <w:p w:rsidR="00004FDE" w:rsidRPr="00720DC2" w:rsidRDefault="00004FDE" w:rsidP="009C4F49">
      <w:pPr>
        <w:pStyle w:val="af1"/>
        <w:numPr>
          <w:ilvl w:val="0"/>
          <w:numId w:val="19"/>
        </w:numPr>
        <w:ind w:left="426" w:hanging="426"/>
        <w:jc w:val="both"/>
        <w:rPr>
          <w:sz w:val="28"/>
          <w:szCs w:val="28"/>
          <w:lang w:val="uk-UA"/>
        </w:rPr>
      </w:pPr>
      <w:r w:rsidRPr="00720DC2">
        <w:rPr>
          <w:sz w:val="28"/>
          <w:szCs w:val="28"/>
          <w:lang w:val="uk-UA"/>
        </w:rPr>
        <w:t>фестиваль патріотичної пісні, присвячений 76-ій річниці створення Української Повстанської Армії (жовтень).</w:t>
      </w:r>
    </w:p>
    <w:p w:rsidR="00004FDE" w:rsidRPr="00720DC2" w:rsidRDefault="00004FDE" w:rsidP="00004FDE">
      <w:pPr>
        <w:ind w:firstLine="567"/>
        <w:jc w:val="both"/>
        <w:rPr>
          <w:rFonts w:cs="Times New Roman"/>
          <w:b/>
          <w:lang w:val="uk-UA"/>
        </w:rPr>
      </w:pPr>
      <w:r w:rsidRPr="00720DC2">
        <w:rPr>
          <w:rFonts w:cs="Times New Roman"/>
          <w:lang w:val="uk-UA"/>
        </w:rPr>
        <w:t xml:space="preserve">Проведено ряд патріотичних і родинних культурно-мистецьких заходів у мікрорайонах міста (144 заходи), які отримали схвальну оцінку в мешканців міста. З нагоди отримання містом найвищої нагороди ПАРЄ – Призу Європи у обласному муздрамтеатрі ім.І.Франка відбулися святкові урочистості та </w:t>
      </w:r>
      <w:r w:rsidRPr="00720DC2">
        <w:rPr>
          <w:rFonts w:cs="Times New Roman"/>
          <w:lang w:val="uk-UA"/>
        </w:rPr>
        <w:lastRenderedPageBreak/>
        <w:t>концерт за участю відомих оперних співаків з Відня (Австрія), Кишинева (Молдова), Бухареста (Румунія), Вроцлава (Польща), Тбілісі (Грузія), Вільнюса (Литва), Братіслави (Словаччина), Києва та Івано-Франківська, а на Вічевому майдані відбувся святковий концер</w:t>
      </w:r>
      <w:r w:rsidR="00D461DF">
        <w:rPr>
          <w:rFonts w:cs="Times New Roman"/>
          <w:lang w:val="uk-UA"/>
        </w:rPr>
        <w:t>т за участю музичних гуртів із Р</w:t>
      </w:r>
      <w:r w:rsidRPr="00720DC2">
        <w:rPr>
          <w:rFonts w:cs="Times New Roman"/>
          <w:lang w:val="uk-UA"/>
        </w:rPr>
        <w:t>еспубліки Польща,  Молдови і Литви.</w:t>
      </w:r>
    </w:p>
    <w:p w:rsidR="00004FDE" w:rsidRPr="00720DC2" w:rsidRDefault="00E6102A" w:rsidP="00004FDE">
      <w:pPr>
        <w:pStyle w:val="ac"/>
        <w:ind w:firstLine="708"/>
        <w:jc w:val="both"/>
        <w:rPr>
          <w:rFonts w:ascii="Times New Roman" w:hAnsi="Times New Roman"/>
          <w:lang w:val="uk-UA"/>
        </w:rPr>
      </w:pPr>
      <w:r>
        <w:rPr>
          <w:rFonts w:ascii="Times New Roman" w:hAnsi="Times New Roman"/>
          <w:lang w:val="uk-UA"/>
        </w:rPr>
        <w:t>Загалом</w:t>
      </w:r>
      <w:r w:rsidR="00004FDE" w:rsidRPr="00720DC2">
        <w:rPr>
          <w:rFonts w:ascii="Times New Roman" w:hAnsi="Times New Roman"/>
          <w:lang w:val="uk-UA"/>
        </w:rPr>
        <w:t xml:space="preserve"> за звітній період в нашому місті відбулося 740 з</w:t>
      </w:r>
      <w:r>
        <w:rPr>
          <w:rFonts w:ascii="Times New Roman" w:hAnsi="Times New Roman"/>
          <w:lang w:val="uk-UA"/>
        </w:rPr>
        <w:t xml:space="preserve">аходів, на яких було присутніх </w:t>
      </w:r>
      <w:r w:rsidR="00004FDE" w:rsidRPr="00720DC2">
        <w:rPr>
          <w:rFonts w:ascii="Times New Roman" w:hAnsi="Times New Roman"/>
          <w:lang w:val="uk-UA"/>
        </w:rPr>
        <w:t>162,8 тис. осіб, з них для дітей та молоді про</w:t>
      </w:r>
      <w:r w:rsidR="0082292C">
        <w:rPr>
          <w:rFonts w:ascii="Times New Roman" w:hAnsi="Times New Roman"/>
          <w:lang w:val="uk-UA"/>
        </w:rPr>
        <w:t xml:space="preserve">ведено 342 заходи, (присутніх </w:t>
      </w:r>
      <w:r w:rsidR="00004FDE" w:rsidRPr="00720DC2">
        <w:rPr>
          <w:rFonts w:ascii="Times New Roman" w:hAnsi="Times New Roman"/>
          <w:lang w:val="uk-UA"/>
        </w:rPr>
        <w:t>38,9 тис. осіб).</w:t>
      </w:r>
    </w:p>
    <w:p w:rsidR="00004FDE" w:rsidRPr="00720DC2" w:rsidRDefault="00004FDE" w:rsidP="009C4F49">
      <w:pPr>
        <w:ind w:firstLine="709"/>
        <w:jc w:val="both"/>
        <w:rPr>
          <w:lang w:val="uk-UA"/>
        </w:rPr>
      </w:pPr>
      <w:r w:rsidRPr="00720DC2">
        <w:rPr>
          <w:lang w:val="uk-UA"/>
        </w:rPr>
        <w:t>Вперше в м.Івано-Франківську було організовано:</w:t>
      </w:r>
    </w:p>
    <w:p w:rsidR="00004FDE" w:rsidRPr="00720DC2" w:rsidRDefault="00004FDE" w:rsidP="009C4F49">
      <w:pPr>
        <w:pStyle w:val="af1"/>
        <w:numPr>
          <w:ilvl w:val="0"/>
          <w:numId w:val="20"/>
        </w:numPr>
        <w:ind w:left="284" w:hanging="284"/>
        <w:jc w:val="both"/>
        <w:rPr>
          <w:sz w:val="28"/>
          <w:szCs w:val="28"/>
          <w:lang w:val="uk-UA"/>
        </w:rPr>
      </w:pPr>
      <w:r w:rsidRPr="00720DC2">
        <w:rPr>
          <w:sz w:val="28"/>
          <w:szCs w:val="28"/>
          <w:lang w:val="uk-UA"/>
        </w:rPr>
        <w:t xml:space="preserve">розважально-відпочинкові заходи і танцювальні вечори у мікрорайонах міста, закладах культури і відпочинковому комплексі </w:t>
      </w:r>
      <w:r w:rsidR="00D4778A" w:rsidRPr="00720DC2">
        <w:rPr>
          <w:sz w:val="28"/>
          <w:szCs w:val="28"/>
          <w:lang w:val="uk-UA"/>
        </w:rPr>
        <w:t>"</w:t>
      </w:r>
      <w:r w:rsidRPr="00720DC2">
        <w:rPr>
          <w:sz w:val="28"/>
          <w:szCs w:val="28"/>
          <w:lang w:val="uk-UA"/>
        </w:rPr>
        <w:t>Лімниця</w:t>
      </w:r>
      <w:r w:rsidR="00D4778A" w:rsidRPr="00720DC2">
        <w:rPr>
          <w:sz w:val="28"/>
          <w:szCs w:val="28"/>
          <w:lang w:val="uk-UA"/>
        </w:rPr>
        <w:t>"</w:t>
      </w:r>
      <w:r w:rsidRPr="00720DC2">
        <w:rPr>
          <w:sz w:val="28"/>
          <w:szCs w:val="28"/>
          <w:lang w:val="uk-UA"/>
        </w:rPr>
        <w:t xml:space="preserve"> для людей </w:t>
      </w:r>
      <w:r w:rsidR="00D4778A" w:rsidRPr="00720DC2">
        <w:rPr>
          <w:sz w:val="28"/>
          <w:szCs w:val="28"/>
          <w:lang w:val="uk-UA"/>
        </w:rPr>
        <w:t>"</w:t>
      </w:r>
      <w:r w:rsidRPr="00720DC2">
        <w:rPr>
          <w:sz w:val="28"/>
          <w:szCs w:val="28"/>
          <w:lang w:val="uk-UA"/>
        </w:rPr>
        <w:t>золотого</w:t>
      </w:r>
      <w:r w:rsidR="00D4778A" w:rsidRPr="00720DC2">
        <w:rPr>
          <w:sz w:val="28"/>
          <w:szCs w:val="28"/>
          <w:lang w:val="uk-UA"/>
        </w:rPr>
        <w:t>"</w:t>
      </w:r>
      <w:r w:rsidRPr="00720DC2">
        <w:rPr>
          <w:sz w:val="28"/>
          <w:szCs w:val="28"/>
          <w:lang w:val="uk-UA"/>
        </w:rPr>
        <w:t xml:space="preserve"> віку;</w:t>
      </w:r>
    </w:p>
    <w:p w:rsidR="00004FDE" w:rsidRPr="00720DC2" w:rsidRDefault="00004FDE" w:rsidP="009C4F49">
      <w:pPr>
        <w:pStyle w:val="af1"/>
        <w:numPr>
          <w:ilvl w:val="0"/>
          <w:numId w:val="20"/>
        </w:numPr>
        <w:ind w:left="284" w:hanging="284"/>
        <w:jc w:val="both"/>
        <w:rPr>
          <w:rStyle w:val="rvts7"/>
          <w:sz w:val="28"/>
          <w:szCs w:val="28"/>
          <w:lang w:val="uk-UA"/>
        </w:rPr>
      </w:pPr>
      <w:r w:rsidRPr="00720DC2">
        <w:rPr>
          <w:rStyle w:val="rvts7"/>
          <w:sz w:val="28"/>
          <w:szCs w:val="28"/>
          <w:lang w:val="uk-UA"/>
        </w:rPr>
        <w:t xml:space="preserve">масовий флеш-моб </w:t>
      </w:r>
      <w:r w:rsidR="00D4778A" w:rsidRPr="00720DC2">
        <w:rPr>
          <w:rStyle w:val="rvts7"/>
          <w:sz w:val="28"/>
          <w:szCs w:val="28"/>
          <w:lang w:val="uk-UA"/>
        </w:rPr>
        <w:t>"</w:t>
      </w:r>
      <w:r w:rsidRPr="00720DC2">
        <w:rPr>
          <w:rStyle w:val="rvts7"/>
          <w:sz w:val="28"/>
          <w:szCs w:val="28"/>
          <w:lang w:val="uk-UA"/>
        </w:rPr>
        <w:t>Символ Нації</w:t>
      </w:r>
      <w:r w:rsidR="00D4778A" w:rsidRPr="00720DC2">
        <w:rPr>
          <w:rStyle w:val="rvts7"/>
          <w:sz w:val="28"/>
          <w:szCs w:val="28"/>
          <w:lang w:val="uk-UA"/>
        </w:rPr>
        <w:t>"</w:t>
      </w:r>
      <w:r w:rsidRPr="00720DC2">
        <w:rPr>
          <w:rStyle w:val="rvts7"/>
          <w:sz w:val="28"/>
          <w:szCs w:val="28"/>
          <w:lang w:val="uk-UA"/>
        </w:rPr>
        <w:t xml:space="preserve"> за участю працівників культури міста та міської ради;</w:t>
      </w:r>
    </w:p>
    <w:p w:rsidR="00004FDE" w:rsidRPr="00720DC2" w:rsidRDefault="00004FDE" w:rsidP="009C4F49">
      <w:pPr>
        <w:pStyle w:val="af1"/>
        <w:numPr>
          <w:ilvl w:val="0"/>
          <w:numId w:val="20"/>
        </w:numPr>
        <w:ind w:left="284" w:hanging="284"/>
        <w:jc w:val="both"/>
        <w:rPr>
          <w:rStyle w:val="rvts7"/>
          <w:sz w:val="28"/>
          <w:szCs w:val="28"/>
          <w:lang w:val="uk-UA"/>
        </w:rPr>
      </w:pPr>
      <w:r w:rsidRPr="00720DC2">
        <w:rPr>
          <w:rStyle w:val="rvts7"/>
          <w:sz w:val="28"/>
          <w:szCs w:val="28"/>
          <w:lang w:val="uk-UA"/>
        </w:rPr>
        <w:t>свято матері за участю творчих матерів міста;</w:t>
      </w:r>
    </w:p>
    <w:p w:rsidR="00004FDE" w:rsidRPr="00720DC2" w:rsidRDefault="00004FDE" w:rsidP="009C4F49">
      <w:pPr>
        <w:pStyle w:val="af1"/>
        <w:numPr>
          <w:ilvl w:val="0"/>
          <w:numId w:val="20"/>
        </w:numPr>
        <w:ind w:left="284" w:hanging="284"/>
        <w:jc w:val="both"/>
        <w:rPr>
          <w:rStyle w:val="rvts7"/>
          <w:sz w:val="28"/>
          <w:szCs w:val="28"/>
          <w:lang w:val="uk-UA"/>
        </w:rPr>
      </w:pPr>
      <w:r w:rsidRPr="00720DC2">
        <w:rPr>
          <w:rStyle w:val="rvts7"/>
          <w:sz w:val="28"/>
          <w:szCs w:val="28"/>
          <w:lang w:val="uk-UA"/>
        </w:rPr>
        <w:t>бібліотечні масові заходи для дітей на відкритих площадках, вулицях і парках.</w:t>
      </w:r>
    </w:p>
    <w:p w:rsidR="00004FDE" w:rsidRPr="00720DC2" w:rsidRDefault="00004FDE" w:rsidP="00004FDE">
      <w:pPr>
        <w:pStyle w:val="ac"/>
        <w:ind w:firstLine="567"/>
        <w:jc w:val="both"/>
        <w:rPr>
          <w:rFonts w:ascii="Times New Roman" w:hAnsi="Times New Roman"/>
          <w:lang w:val="uk-UA"/>
        </w:rPr>
      </w:pPr>
      <w:r w:rsidRPr="00720DC2">
        <w:rPr>
          <w:rFonts w:ascii="Times New Roman" w:hAnsi="Times New Roman"/>
          <w:lang w:val="uk-UA"/>
        </w:rPr>
        <w:t>Культурно-мистецьку палітру міста також представляють і творчі колективи Івано-Франківська. Впродовж року в установах культури міста і приміських сіл функціонували 98 творчих колективів, які за вищезгаданий період провели 58 концертів (з них – 34 дитячих заходів). Кращі мистецькі колективи з сольною концертною програмою виїжджали за межі міста, області і держави та були учасниками різноманітних фестивалів і конкурсів. Так</w:t>
      </w:r>
      <w:r w:rsidR="00B71599">
        <w:rPr>
          <w:rFonts w:ascii="Times New Roman" w:hAnsi="Times New Roman"/>
          <w:lang w:val="uk-UA"/>
        </w:rPr>
        <w:t>,</w:t>
      </w:r>
      <w:r w:rsidRPr="00720DC2">
        <w:rPr>
          <w:rFonts w:ascii="Times New Roman" w:hAnsi="Times New Roman"/>
          <w:lang w:val="uk-UA"/>
        </w:rPr>
        <w:t xml:space="preserve"> у 2018 році творчі колективи закладів культури гідно представили наше місто на  всеукраїнських,  регіональних та  обласних фестивалях:</w:t>
      </w:r>
    </w:p>
    <w:p w:rsidR="00004FDE" w:rsidRPr="00720DC2" w:rsidRDefault="00004FDE" w:rsidP="00AA771C">
      <w:pPr>
        <w:pStyle w:val="15"/>
        <w:numPr>
          <w:ilvl w:val="0"/>
          <w:numId w:val="21"/>
        </w:numPr>
        <w:ind w:left="0" w:firstLine="426"/>
        <w:jc w:val="both"/>
        <w:rPr>
          <w:rFonts w:ascii="Times New Roman" w:hAnsi="Times New Roman"/>
          <w:sz w:val="28"/>
          <w:lang w:val="uk-UA"/>
        </w:rPr>
      </w:pPr>
      <w:r w:rsidRPr="00720DC2">
        <w:rPr>
          <w:rFonts w:ascii="Times New Roman" w:hAnsi="Times New Roman"/>
          <w:sz w:val="28"/>
          <w:lang w:val="uk-UA"/>
        </w:rPr>
        <w:t xml:space="preserve">участь народного аматорського хору </w:t>
      </w:r>
      <w:r w:rsidR="00D4778A" w:rsidRPr="00720DC2">
        <w:rPr>
          <w:rFonts w:ascii="Times New Roman" w:hAnsi="Times New Roman"/>
          <w:sz w:val="28"/>
          <w:lang w:val="uk-UA"/>
        </w:rPr>
        <w:t>"</w:t>
      </w:r>
      <w:r w:rsidRPr="00720DC2">
        <w:rPr>
          <w:rFonts w:ascii="Times New Roman" w:hAnsi="Times New Roman"/>
          <w:sz w:val="28"/>
          <w:lang w:val="uk-UA"/>
        </w:rPr>
        <w:t>Прикарпаття</w:t>
      </w:r>
      <w:r w:rsidR="00D4778A" w:rsidRPr="00720DC2">
        <w:rPr>
          <w:rFonts w:ascii="Times New Roman" w:hAnsi="Times New Roman"/>
          <w:sz w:val="28"/>
          <w:lang w:val="uk-UA"/>
        </w:rPr>
        <w:t>"</w:t>
      </w:r>
      <w:r w:rsidRPr="00720DC2">
        <w:rPr>
          <w:rFonts w:ascii="Times New Roman" w:hAnsi="Times New Roman"/>
          <w:sz w:val="28"/>
          <w:lang w:val="uk-UA"/>
        </w:rPr>
        <w:t xml:space="preserve"> НД с.Угорники в Міжнародному фестивалі </w:t>
      </w:r>
      <w:r w:rsidR="00D4778A" w:rsidRPr="00720DC2">
        <w:rPr>
          <w:rFonts w:ascii="Times New Roman" w:hAnsi="Times New Roman"/>
          <w:sz w:val="28"/>
          <w:lang w:val="uk-UA"/>
        </w:rPr>
        <w:t>"</w:t>
      </w:r>
      <w:r w:rsidRPr="00720DC2">
        <w:rPr>
          <w:rFonts w:ascii="Times New Roman" w:hAnsi="Times New Roman"/>
          <w:sz w:val="28"/>
          <w:lang w:val="uk-UA"/>
        </w:rPr>
        <w:t>Великдень у Космачі</w:t>
      </w:r>
      <w:r w:rsidR="00D4778A" w:rsidRPr="00720DC2">
        <w:rPr>
          <w:rFonts w:ascii="Times New Roman" w:hAnsi="Times New Roman"/>
          <w:sz w:val="28"/>
          <w:lang w:val="uk-UA"/>
        </w:rPr>
        <w:t>"</w:t>
      </w:r>
      <w:r w:rsidRPr="00720DC2">
        <w:rPr>
          <w:rFonts w:ascii="Times New Roman" w:hAnsi="Times New Roman"/>
          <w:sz w:val="28"/>
          <w:lang w:val="uk-UA"/>
        </w:rPr>
        <w:t xml:space="preserve">; </w:t>
      </w:r>
    </w:p>
    <w:p w:rsidR="00004FDE" w:rsidRPr="00720DC2" w:rsidRDefault="00004FDE" w:rsidP="00AA771C">
      <w:pPr>
        <w:pStyle w:val="15"/>
        <w:numPr>
          <w:ilvl w:val="0"/>
          <w:numId w:val="21"/>
        </w:numPr>
        <w:ind w:left="0" w:firstLine="426"/>
        <w:jc w:val="both"/>
        <w:rPr>
          <w:rFonts w:ascii="Times New Roman" w:hAnsi="Times New Roman"/>
          <w:sz w:val="28"/>
          <w:lang w:val="uk-UA"/>
        </w:rPr>
      </w:pPr>
      <w:r w:rsidRPr="00720DC2">
        <w:rPr>
          <w:rFonts w:ascii="Times New Roman" w:hAnsi="Times New Roman"/>
          <w:sz w:val="28"/>
          <w:lang w:val="uk-UA"/>
        </w:rPr>
        <w:t xml:space="preserve">участь народного аматорського ансамблю танцю </w:t>
      </w:r>
      <w:r w:rsidR="00D4778A" w:rsidRPr="00720DC2">
        <w:rPr>
          <w:rFonts w:ascii="Times New Roman" w:hAnsi="Times New Roman"/>
          <w:sz w:val="28"/>
          <w:lang w:val="uk-UA"/>
        </w:rPr>
        <w:t>"</w:t>
      </w:r>
      <w:r w:rsidRPr="00720DC2">
        <w:rPr>
          <w:rFonts w:ascii="Times New Roman" w:hAnsi="Times New Roman"/>
          <w:sz w:val="28"/>
          <w:lang w:val="uk-UA"/>
        </w:rPr>
        <w:t>Карпати</w:t>
      </w:r>
      <w:r w:rsidR="00D4778A" w:rsidRPr="00720DC2">
        <w:rPr>
          <w:rFonts w:ascii="Times New Roman" w:hAnsi="Times New Roman"/>
          <w:sz w:val="28"/>
          <w:lang w:val="uk-UA"/>
        </w:rPr>
        <w:t>"</w:t>
      </w:r>
      <w:r w:rsidRPr="00720DC2">
        <w:rPr>
          <w:rFonts w:ascii="Times New Roman" w:hAnsi="Times New Roman"/>
          <w:sz w:val="28"/>
          <w:lang w:val="uk-UA"/>
        </w:rPr>
        <w:t xml:space="preserve"> МЦД у Відкритому обласному фестивалі народного танцю </w:t>
      </w:r>
      <w:r w:rsidR="00D4778A" w:rsidRPr="00720DC2">
        <w:rPr>
          <w:rFonts w:ascii="Times New Roman" w:hAnsi="Times New Roman"/>
          <w:sz w:val="28"/>
          <w:lang w:val="uk-UA"/>
        </w:rPr>
        <w:t>"</w:t>
      </w:r>
      <w:r w:rsidRPr="00720DC2">
        <w:rPr>
          <w:rFonts w:ascii="Times New Roman" w:hAnsi="Times New Roman"/>
          <w:sz w:val="28"/>
          <w:lang w:val="uk-UA"/>
        </w:rPr>
        <w:t>Арканове коло</w:t>
      </w:r>
      <w:r w:rsidR="00D4778A" w:rsidRPr="00720DC2">
        <w:rPr>
          <w:rFonts w:ascii="Times New Roman" w:hAnsi="Times New Roman"/>
          <w:sz w:val="28"/>
          <w:lang w:val="uk-UA"/>
        </w:rPr>
        <w:t>"</w:t>
      </w:r>
      <w:r w:rsidRPr="00720DC2">
        <w:rPr>
          <w:rFonts w:ascii="Times New Roman" w:hAnsi="Times New Roman"/>
          <w:sz w:val="28"/>
          <w:lang w:val="uk-UA"/>
        </w:rPr>
        <w:t>;</w:t>
      </w:r>
    </w:p>
    <w:p w:rsidR="00004FDE" w:rsidRPr="00720DC2" w:rsidRDefault="00004FDE" w:rsidP="00AA771C">
      <w:pPr>
        <w:pStyle w:val="15"/>
        <w:numPr>
          <w:ilvl w:val="0"/>
          <w:numId w:val="21"/>
        </w:numPr>
        <w:ind w:left="0" w:firstLine="426"/>
        <w:jc w:val="both"/>
        <w:rPr>
          <w:rFonts w:ascii="Times New Roman" w:hAnsi="Times New Roman"/>
          <w:i/>
          <w:sz w:val="28"/>
          <w:lang w:val="uk-UA"/>
        </w:rPr>
      </w:pPr>
      <w:r w:rsidRPr="00720DC2">
        <w:rPr>
          <w:rFonts w:ascii="Times New Roman" w:hAnsi="Times New Roman"/>
          <w:sz w:val="28"/>
          <w:lang w:val="uk-UA"/>
        </w:rPr>
        <w:t xml:space="preserve">участь  народного аматорського ансамблю танцю </w:t>
      </w:r>
      <w:r w:rsidR="00D4778A" w:rsidRPr="00720DC2">
        <w:rPr>
          <w:rFonts w:ascii="Times New Roman" w:hAnsi="Times New Roman"/>
          <w:sz w:val="28"/>
          <w:lang w:val="uk-UA"/>
        </w:rPr>
        <w:t>"</w:t>
      </w:r>
      <w:r w:rsidRPr="00720DC2">
        <w:rPr>
          <w:rFonts w:ascii="Times New Roman" w:hAnsi="Times New Roman"/>
          <w:sz w:val="28"/>
          <w:lang w:val="uk-UA"/>
        </w:rPr>
        <w:t>Карпати</w:t>
      </w:r>
      <w:r w:rsidR="00D4778A" w:rsidRPr="00720DC2">
        <w:rPr>
          <w:rFonts w:ascii="Times New Roman" w:hAnsi="Times New Roman"/>
          <w:sz w:val="28"/>
          <w:lang w:val="uk-UA"/>
        </w:rPr>
        <w:t>"</w:t>
      </w:r>
      <w:r w:rsidRPr="00720DC2">
        <w:rPr>
          <w:rFonts w:ascii="Times New Roman" w:hAnsi="Times New Roman"/>
          <w:sz w:val="28"/>
          <w:lang w:val="uk-UA"/>
        </w:rPr>
        <w:t xml:space="preserve"> МЦД в традиційному заході </w:t>
      </w:r>
      <w:r w:rsidR="00D4778A" w:rsidRPr="00720DC2">
        <w:rPr>
          <w:rFonts w:ascii="Times New Roman" w:hAnsi="Times New Roman"/>
          <w:sz w:val="28"/>
          <w:lang w:val="uk-UA"/>
        </w:rPr>
        <w:t>"</w:t>
      </w:r>
      <w:r w:rsidRPr="00720DC2">
        <w:rPr>
          <w:rFonts w:ascii="Times New Roman" w:hAnsi="Times New Roman"/>
          <w:sz w:val="28"/>
          <w:lang w:val="uk-UA"/>
        </w:rPr>
        <w:t>Традиційна багатокультурна народна маївка</w:t>
      </w:r>
      <w:r w:rsidR="00D4778A" w:rsidRPr="00720DC2">
        <w:rPr>
          <w:rFonts w:ascii="Times New Roman" w:hAnsi="Times New Roman"/>
          <w:sz w:val="28"/>
          <w:lang w:val="uk-UA"/>
        </w:rPr>
        <w:t>"</w:t>
      </w:r>
      <w:r w:rsidRPr="00720DC2">
        <w:rPr>
          <w:rFonts w:ascii="Times New Roman" w:hAnsi="Times New Roman"/>
          <w:sz w:val="28"/>
          <w:lang w:val="uk-UA"/>
        </w:rPr>
        <w:t xml:space="preserve"> </w:t>
      </w:r>
      <w:r w:rsidRPr="00063AAA">
        <w:rPr>
          <w:rFonts w:ascii="Times New Roman" w:hAnsi="Times New Roman"/>
          <w:sz w:val="28"/>
          <w:lang w:val="uk-UA"/>
        </w:rPr>
        <w:t>(Польща);</w:t>
      </w:r>
    </w:p>
    <w:p w:rsidR="00004FDE" w:rsidRPr="00720DC2" w:rsidRDefault="00004FDE" w:rsidP="00AA771C">
      <w:pPr>
        <w:pStyle w:val="15"/>
        <w:numPr>
          <w:ilvl w:val="0"/>
          <w:numId w:val="21"/>
        </w:numPr>
        <w:ind w:left="0" w:firstLine="426"/>
        <w:jc w:val="both"/>
        <w:rPr>
          <w:rFonts w:ascii="Times New Roman" w:hAnsi="Times New Roman"/>
          <w:i/>
          <w:sz w:val="28"/>
          <w:lang w:val="uk-UA"/>
        </w:rPr>
      </w:pPr>
      <w:r w:rsidRPr="00720DC2">
        <w:rPr>
          <w:rFonts w:ascii="Times New Roman" w:hAnsi="Times New Roman"/>
          <w:sz w:val="28"/>
          <w:lang w:val="uk-UA"/>
        </w:rPr>
        <w:t xml:space="preserve">участь солістів ЦНД у святкуванні Дня м.Ополє </w:t>
      </w:r>
      <w:r w:rsidRPr="004905BE">
        <w:rPr>
          <w:rFonts w:ascii="Times New Roman" w:hAnsi="Times New Roman"/>
          <w:sz w:val="28"/>
          <w:lang w:val="uk-UA"/>
        </w:rPr>
        <w:t>(Польща);</w:t>
      </w:r>
    </w:p>
    <w:p w:rsidR="00004FDE" w:rsidRPr="004905BE" w:rsidRDefault="00004FDE" w:rsidP="00AA771C">
      <w:pPr>
        <w:pStyle w:val="ac"/>
        <w:numPr>
          <w:ilvl w:val="0"/>
          <w:numId w:val="21"/>
        </w:numPr>
        <w:ind w:left="0" w:firstLine="426"/>
        <w:jc w:val="both"/>
        <w:rPr>
          <w:rFonts w:ascii="Times New Roman" w:hAnsi="Times New Roman"/>
          <w:lang w:val="uk-UA"/>
        </w:rPr>
      </w:pPr>
      <w:r w:rsidRPr="00720DC2">
        <w:rPr>
          <w:rFonts w:ascii="Times New Roman" w:hAnsi="Times New Roman"/>
          <w:lang w:val="uk-UA"/>
        </w:rPr>
        <w:t xml:space="preserve">участь народної аматорської лемківської хорової капели </w:t>
      </w:r>
      <w:r w:rsidR="00D4778A" w:rsidRPr="00720DC2">
        <w:rPr>
          <w:rFonts w:ascii="Times New Roman" w:hAnsi="Times New Roman"/>
          <w:lang w:val="uk-UA"/>
        </w:rPr>
        <w:t>"</w:t>
      </w:r>
      <w:r w:rsidRPr="00720DC2">
        <w:rPr>
          <w:rFonts w:ascii="Times New Roman" w:hAnsi="Times New Roman"/>
          <w:lang w:val="uk-UA"/>
        </w:rPr>
        <w:t>Бескид</w:t>
      </w:r>
      <w:r w:rsidR="00D4778A" w:rsidRPr="00720DC2">
        <w:rPr>
          <w:rFonts w:ascii="Times New Roman" w:hAnsi="Times New Roman"/>
          <w:lang w:val="uk-UA"/>
        </w:rPr>
        <w:t>"</w:t>
      </w:r>
      <w:r w:rsidRPr="00720DC2">
        <w:rPr>
          <w:rFonts w:ascii="Times New Roman" w:hAnsi="Times New Roman"/>
          <w:lang w:val="uk-UA"/>
        </w:rPr>
        <w:t xml:space="preserve"> МНД в ХІХ Всеукраїнському фестивалі лемківської культури </w:t>
      </w:r>
      <w:r w:rsidR="00D4778A" w:rsidRPr="00720DC2">
        <w:rPr>
          <w:rFonts w:ascii="Times New Roman" w:hAnsi="Times New Roman"/>
          <w:lang w:val="uk-UA"/>
        </w:rPr>
        <w:t>"</w:t>
      </w:r>
      <w:r w:rsidRPr="00720DC2">
        <w:rPr>
          <w:rFonts w:ascii="Times New Roman" w:hAnsi="Times New Roman"/>
          <w:lang w:val="uk-UA"/>
        </w:rPr>
        <w:t>Дзвони Лемківщини</w:t>
      </w:r>
      <w:r w:rsidR="00D4778A" w:rsidRPr="004905BE">
        <w:rPr>
          <w:rFonts w:ascii="Times New Roman" w:hAnsi="Times New Roman"/>
          <w:lang w:val="uk-UA"/>
        </w:rPr>
        <w:t>"</w:t>
      </w:r>
      <w:r w:rsidRPr="004905BE">
        <w:rPr>
          <w:rFonts w:ascii="Times New Roman" w:hAnsi="Times New Roman"/>
          <w:lang w:val="uk-UA"/>
        </w:rPr>
        <w:t xml:space="preserve"> (м.Монастириськ, Тернопільська обл.);</w:t>
      </w:r>
    </w:p>
    <w:p w:rsidR="00004FDE" w:rsidRPr="004905BE" w:rsidRDefault="00004FDE" w:rsidP="00AA771C">
      <w:pPr>
        <w:pStyle w:val="ac"/>
        <w:numPr>
          <w:ilvl w:val="0"/>
          <w:numId w:val="21"/>
        </w:numPr>
        <w:ind w:left="0" w:firstLine="426"/>
        <w:jc w:val="both"/>
        <w:rPr>
          <w:rFonts w:ascii="Times New Roman" w:hAnsi="Times New Roman"/>
          <w:lang w:val="uk-UA"/>
        </w:rPr>
      </w:pPr>
      <w:r w:rsidRPr="00720DC2">
        <w:rPr>
          <w:rFonts w:ascii="Times New Roman" w:hAnsi="Times New Roman"/>
          <w:lang w:val="uk-UA"/>
        </w:rPr>
        <w:t xml:space="preserve">участь  народного аматорського  вокального ансамблю </w:t>
      </w:r>
      <w:r w:rsidR="00D4778A" w:rsidRPr="00720DC2">
        <w:rPr>
          <w:rFonts w:ascii="Times New Roman" w:hAnsi="Times New Roman"/>
          <w:lang w:val="uk-UA"/>
        </w:rPr>
        <w:t>"</w:t>
      </w:r>
      <w:r w:rsidRPr="00720DC2">
        <w:rPr>
          <w:rFonts w:ascii="Times New Roman" w:hAnsi="Times New Roman"/>
          <w:lang w:val="uk-UA"/>
        </w:rPr>
        <w:t>Смерічка</w:t>
      </w:r>
      <w:r w:rsidR="00D4778A" w:rsidRPr="00720DC2">
        <w:rPr>
          <w:rFonts w:ascii="Times New Roman" w:hAnsi="Times New Roman"/>
          <w:lang w:val="uk-UA"/>
        </w:rPr>
        <w:t>"</w:t>
      </w:r>
      <w:r w:rsidRPr="00720DC2">
        <w:rPr>
          <w:rFonts w:ascii="Times New Roman" w:hAnsi="Times New Roman"/>
          <w:lang w:val="uk-UA"/>
        </w:rPr>
        <w:t xml:space="preserve"> ЦНД в  ХІ обласному фестивалі стрілецької та повстанської пісні Софії Галечко  </w:t>
      </w:r>
      <w:r w:rsidRPr="004905BE">
        <w:rPr>
          <w:rFonts w:ascii="Times New Roman" w:hAnsi="Times New Roman"/>
          <w:lang w:val="uk-UA"/>
        </w:rPr>
        <w:t>(м.Над</w:t>
      </w:r>
      <w:r w:rsidR="001B5163">
        <w:rPr>
          <w:rFonts w:ascii="Times New Roman" w:hAnsi="Times New Roman"/>
          <w:lang w:val="uk-UA"/>
        </w:rPr>
        <w:t>вірна, Івано-Франківська обл.).</w:t>
      </w:r>
    </w:p>
    <w:p w:rsidR="00004FDE" w:rsidRPr="004905BE" w:rsidRDefault="00004FDE" w:rsidP="00AA771C">
      <w:pPr>
        <w:pStyle w:val="ac"/>
        <w:numPr>
          <w:ilvl w:val="0"/>
          <w:numId w:val="21"/>
        </w:numPr>
        <w:ind w:left="0" w:firstLine="426"/>
        <w:jc w:val="both"/>
        <w:rPr>
          <w:rFonts w:ascii="Times New Roman" w:hAnsi="Times New Roman"/>
          <w:lang w:val="uk-UA"/>
        </w:rPr>
      </w:pPr>
      <w:r w:rsidRPr="00720DC2">
        <w:rPr>
          <w:rFonts w:ascii="Times New Roman" w:hAnsi="Times New Roman"/>
          <w:lang w:val="uk-UA"/>
        </w:rPr>
        <w:t xml:space="preserve">участь народного аматорського хору  </w:t>
      </w:r>
      <w:r w:rsidR="00D4778A" w:rsidRPr="00720DC2">
        <w:rPr>
          <w:rFonts w:ascii="Times New Roman" w:hAnsi="Times New Roman"/>
          <w:lang w:val="uk-UA"/>
        </w:rPr>
        <w:t>"</w:t>
      </w:r>
      <w:r w:rsidRPr="00720DC2">
        <w:rPr>
          <w:rFonts w:ascii="Times New Roman" w:hAnsi="Times New Roman"/>
          <w:lang w:val="uk-UA"/>
        </w:rPr>
        <w:t>Прикарпаття</w:t>
      </w:r>
      <w:r w:rsidR="00D4778A" w:rsidRPr="00720DC2">
        <w:rPr>
          <w:rFonts w:ascii="Times New Roman" w:hAnsi="Times New Roman"/>
          <w:lang w:val="uk-UA"/>
        </w:rPr>
        <w:t>"</w:t>
      </w:r>
      <w:r w:rsidRPr="00720DC2">
        <w:rPr>
          <w:rFonts w:ascii="Times New Roman" w:hAnsi="Times New Roman"/>
          <w:lang w:val="uk-UA"/>
        </w:rPr>
        <w:t xml:space="preserve"> НД с.Угорники в V Відкритому обласному фестивалі кераміки, ремесел і фольклору </w:t>
      </w:r>
      <w:r w:rsidR="00D4778A" w:rsidRPr="00720DC2">
        <w:rPr>
          <w:rFonts w:ascii="Times New Roman" w:hAnsi="Times New Roman"/>
          <w:lang w:val="uk-UA"/>
        </w:rPr>
        <w:t>"</w:t>
      </w:r>
      <w:r w:rsidRPr="00720DC2">
        <w:rPr>
          <w:rFonts w:ascii="Times New Roman" w:hAnsi="Times New Roman"/>
          <w:lang w:val="uk-UA"/>
        </w:rPr>
        <w:t>Мальований дзбанок</w:t>
      </w:r>
      <w:r w:rsidR="00D4778A" w:rsidRPr="00720DC2">
        <w:rPr>
          <w:rFonts w:ascii="Times New Roman" w:hAnsi="Times New Roman"/>
          <w:lang w:val="uk-UA"/>
        </w:rPr>
        <w:t>"</w:t>
      </w:r>
      <w:r w:rsidRPr="00720DC2">
        <w:rPr>
          <w:rFonts w:ascii="Times New Roman" w:hAnsi="Times New Roman"/>
          <w:lang w:val="uk-UA"/>
        </w:rPr>
        <w:t xml:space="preserve"> </w:t>
      </w:r>
      <w:r w:rsidRPr="004905BE">
        <w:rPr>
          <w:rFonts w:ascii="Times New Roman" w:hAnsi="Times New Roman"/>
          <w:lang w:val="uk-UA"/>
        </w:rPr>
        <w:t>(м.Косів, Івано-Франківська обл.).</w:t>
      </w:r>
    </w:p>
    <w:p w:rsidR="00E44E2A" w:rsidRPr="00720DC2" w:rsidRDefault="00E44E2A" w:rsidP="00E44E2A">
      <w:pPr>
        <w:pStyle w:val="af1"/>
        <w:ind w:left="0" w:firstLine="709"/>
        <w:jc w:val="both"/>
        <w:rPr>
          <w:sz w:val="28"/>
          <w:szCs w:val="28"/>
          <w:lang w:val="uk-UA"/>
        </w:rPr>
      </w:pPr>
      <w:r w:rsidRPr="00720DC2">
        <w:rPr>
          <w:sz w:val="28"/>
          <w:szCs w:val="28"/>
          <w:lang w:val="uk-UA"/>
        </w:rPr>
        <w:t xml:space="preserve">Впродовж 2018 року бібліотекарями міста було організовано 608 масових заходів, </w:t>
      </w:r>
      <w:r w:rsidR="008D1E31" w:rsidRPr="00720DC2">
        <w:rPr>
          <w:sz w:val="28"/>
          <w:szCs w:val="28"/>
          <w:lang w:val="uk-UA"/>
        </w:rPr>
        <w:t xml:space="preserve">надано послуги </w:t>
      </w:r>
      <w:r w:rsidRPr="00720DC2">
        <w:rPr>
          <w:sz w:val="28"/>
          <w:szCs w:val="28"/>
          <w:lang w:val="uk-UA"/>
        </w:rPr>
        <w:t>3</w:t>
      </w:r>
      <w:r w:rsidRPr="00720DC2">
        <w:rPr>
          <w:color w:val="000000"/>
          <w:sz w:val="28"/>
          <w:szCs w:val="28"/>
          <w:lang w:val="uk-UA"/>
        </w:rPr>
        <w:t>6,2 тис.</w:t>
      </w:r>
      <w:r w:rsidRPr="00720DC2">
        <w:rPr>
          <w:sz w:val="28"/>
          <w:szCs w:val="28"/>
          <w:lang w:val="uk-UA"/>
        </w:rPr>
        <w:t xml:space="preserve"> користувачів (кількість книговидач – 641,3 тис. примірників), відвідування бібліотек склало 202,7 тис. разів. Вже другий рік поспіль бібліотеки активно долучаються до голосування </w:t>
      </w:r>
      <w:r w:rsidRPr="00720DC2">
        <w:rPr>
          <w:sz w:val="28"/>
          <w:szCs w:val="28"/>
          <w:shd w:val="clear" w:color="auto" w:fill="FFFFFF"/>
          <w:lang w:val="uk-UA"/>
        </w:rPr>
        <w:t xml:space="preserve">за </w:t>
      </w:r>
      <w:r w:rsidRPr="00720DC2">
        <w:rPr>
          <w:sz w:val="28"/>
          <w:szCs w:val="28"/>
          <w:shd w:val="clear" w:color="auto" w:fill="FFFFFF"/>
          <w:lang w:val="uk-UA"/>
        </w:rPr>
        <w:lastRenderedPageBreak/>
        <w:t>проекти програми Бюджет участі 2018 року. Цьогоріч можна було проголосувати за проекти в 12 міських бібліотеках.</w:t>
      </w:r>
    </w:p>
    <w:p w:rsidR="0084265E" w:rsidRPr="0084265E" w:rsidRDefault="0084265E" w:rsidP="0084265E">
      <w:pPr>
        <w:pStyle w:val="af1"/>
        <w:ind w:left="0" w:firstLine="709"/>
        <w:jc w:val="both"/>
        <w:rPr>
          <w:color w:val="000000"/>
          <w:sz w:val="28"/>
          <w:szCs w:val="28"/>
          <w:lang w:val="uk-UA"/>
        </w:rPr>
      </w:pPr>
      <w:r w:rsidRPr="0084265E">
        <w:rPr>
          <w:sz w:val="28"/>
          <w:szCs w:val="28"/>
          <w:lang w:val="uk-UA"/>
        </w:rPr>
        <w:t>У місті успішно функціонує 5 шкі</w:t>
      </w:r>
      <w:r w:rsidR="00F6194B">
        <w:rPr>
          <w:sz w:val="28"/>
          <w:szCs w:val="28"/>
          <w:lang w:val="uk-UA"/>
        </w:rPr>
        <w:t>л естетичного виховання, у яких</w:t>
      </w:r>
      <w:r w:rsidRPr="0084265E">
        <w:rPr>
          <w:sz w:val="28"/>
          <w:szCs w:val="28"/>
          <w:lang w:val="uk-UA"/>
        </w:rPr>
        <w:t xml:space="preserve"> станом на 1 вересня навчалося 2568 учнів. В</w:t>
      </w:r>
      <w:r w:rsidRPr="0084265E">
        <w:rPr>
          <w:color w:val="000000"/>
          <w:sz w:val="28"/>
          <w:szCs w:val="28"/>
          <w:lang w:val="uk-UA"/>
        </w:rPr>
        <w:t>изначною подією 2018 року в нашому місті стало присвоєння Івано-Франківській дитячій музичній школі №3 імені Анатолія Кос-Анатольського.</w:t>
      </w:r>
    </w:p>
    <w:p w:rsidR="008D1E31" w:rsidRPr="00720DC2" w:rsidRDefault="008D1E31" w:rsidP="001C0133">
      <w:pPr>
        <w:pStyle w:val="af7"/>
        <w:widowControl w:val="0"/>
        <w:tabs>
          <w:tab w:val="left" w:pos="708"/>
        </w:tabs>
        <w:jc w:val="both"/>
        <w:rPr>
          <w:i/>
          <w:sz w:val="24"/>
          <w:szCs w:val="24"/>
          <w:lang w:val="uk-UA"/>
        </w:rPr>
      </w:pPr>
    </w:p>
    <w:p w:rsidR="001C0133" w:rsidRPr="00720DC2" w:rsidRDefault="001C0133" w:rsidP="001C0133">
      <w:pPr>
        <w:pStyle w:val="af7"/>
        <w:widowControl w:val="0"/>
        <w:tabs>
          <w:tab w:val="left" w:pos="708"/>
        </w:tabs>
        <w:jc w:val="both"/>
        <w:rPr>
          <w:i/>
          <w:lang w:val="uk-UA"/>
        </w:rPr>
      </w:pPr>
      <w:r w:rsidRPr="00720DC2">
        <w:rPr>
          <w:i/>
          <w:lang w:val="uk-UA"/>
        </w:rPr>
        <w:t>Кількісні та якісні показники ефективності реалізації:</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8"/>
        <w:gridCol w:w="2126"/>
        <w:gridCol w:w="2126"/>
      </w:tblGrid>
      <w:tr w:rsidR="001C0133" w:rsidRPr="00720DC2" w:rsidTr="00C47215">
        <w:tc>
          <w:tcPr>
            <w:tcW w:w="3544" w:type="dxa"/>
            <w:tcBorders>
              <w:top w:val="single" w:sz="4" w:space="0" w:color="auto"/>
              <w:left w:val="single" w:sz="4" w:space="0" w:color="auto"/>
              <w:bottom w:val="single" w:sz="4" w:space="0" w:color="auto"/>
              <w:right w:val="single" w:sz="4" w:space="0" w:color="auto"/>
            </w:tcBorders>
            <w:vAlign w:val="center"/>
            <w:hideMark/>
          </w:tcPr>
          <w:p w:rsidR="001C0133" w:rsidRPr="00720DC2" w:rsidRDefault="001C0133" w:rsidP="00C47215">
            <w:pPr>
              <w:tabs>
                <w:tab w:val="left" w:pos="600"/>
              </w:tabs>
              <w:spacing w:line="276" w:lineRule="auto"/>
              <w:ind w:left="-108"/>
              <w:jc w:val="center"/>
              <w:rPr>
                <w:rFonts w:eastAsia="Times New Roman" w:cs="Times New Roman"/>
                <w:b/>
                <w:sz w:val="24"/>
                <w:szCs w:val="24"/>
                <w:lang w:val="uk-UA"/>
              </w:rPr>
            </w:pPr>
            <w:r w:rsidRPr="00720DC2">
              <w:rPr>
                <w:b/>
                <w:sz w:val="24"/>
                <w:szCs w:val="24"/>
                <w:lang w:val="uk-UA"/>
              </w:rPr>
              <w:t>Показники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0133" w:rsidRPr="00720DC2" w:rsidRDefault="001C0133" w:rsidP="00C47215">
            <w:pPr>
              <w:tabs>
                <w:tab w:val="left" w:pos="600"/>
              </w:tabs>
              <w:jc w:val="center"/>
              <w:rPr>
                <w:rFonts w:eastAsia="Times New Roman" w:cs="Times New Roman"/>
                <w:b/>
                <w:sz w:val="24"/>
                <w:szCs w:val="24"/>
                <w:lang w:val="uk-UA"/>
              </w:rPr>
            </w:pPr>
            <w:r w:rsidRPr="00720DC2">
              <w:rPr>
                <w:b/>
                <w:sz w:val="24"/>
                <w:szCs w:val="24"/>
                <w:lang w:val="uk-UA"/>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133" w:rsidRPr="00C47215" w:rsidRDefault="001C0133" w:rsidP="00C47215">
            <w:pPr>
              <w:tabs>
                <w:tab w:val="left" w:pos="600"/>
              </w:tabs>
              <w:spacing w:line="276" w:lineRule="auto"/>
              <w:jc w:val="center"/>
              <w:rPr>
                <w:b/>
                <w:sz w:val="24"/>
                <w:szCs w:val="24"/>
                <w:lang w:val="uk-UA"/>
              </w:rPr>
            </w:pPr>
            <w:r w:rsidRPr="00720DC2">
              <w:rPr>
                <w:b/>
                <w:sz w:val="24"/>
                <w:szCs w:val="24"/>
                <w:lang w:val="uk-UA"/>
              </w:rPr>
              <w:t>2017 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133" w:rsidRPr="00C47215" w:rsidRDefault="001C0133" w:rsidP="00C47215">
            <w:pPr>
              <w:tabs>
                <w:tab w:val="left" w:pos="600"/>
              </w:tabs>
              <w:spacing w:line="276" w:lineRule="auto"/>
              <w:jc w:val="center"/>
              <w:rPr>
                <w:b/>
                <w:sz w:val="24"/>
                <w:szCs w:val="24"/>
                <w:lang w:val="uk-UA"/>
              </w:rPr>
            </w:pPr>
            <w:r w:rsidRPr="00720DC2">
              <w:rPr>
                <w:b/>
                <w:sz w:val="24"/>
                <w:szCs w:val="24"/>
                <w:lang w:val="uk-UA"/>
              </w:rPr>
              <w:t>2018 р.</w:t>
            </w:r>
          </w:p>
        </w:tc>
      </w:tr>
      <w:tr w:rsidR="001C0133" w:rsidRPr="00720DC2" w:rsidTr="00434744">
        <w:tc>
          <w:tcPr>
            <w:tcW w:w="3544"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both"/>
              <w:rPr>
                <w:rFonts w:eastAsia="Times New Roman" w:cs="Times New Roman"/>
                <w:sz w:val="20"/>
                <w:szCs w:val="20"/>
                <w:lang w:val="uk-UA"/>
              </w:rPr>
            </w:pPr>
            <w:r w:rsidRPr="00720DC2">
              <w:rPr>
                <w:sz w:val="24"/>
                <w:szCs w:val="24"/>
                <w:lang w:val="uk-UA"/>
              </w:rPr>
              <w:t xml:space="preserve">Централізована бібліотечна система </w:t>
            </w:r>
            <w:r w:rsidRPr="00720DC2">
              <w:rPr>
                <w:sz w:val="20"/>
                <w:szCs w:val="20"/>
                <w:lang w:val="uk-UA"/>
              </w:rPr>
              <w:t>(кількість бібліотек-філій)</w:t>
            </w:r>
          </w:p>
        </w:tc>
        <w:tc>
          <w:tcPr>
            <w:tcW w:w="1418" w:type="dxa"/>
            <w:tcBorders>
              <w:top w:val="single" w:sz="4" w:space="0" w:color="auto"/>
              <w:left w:val="single" w:sz="4" w:space="0" w:color="auto"/>
              <w:bottom w:val="single" w:sz="4" w:space="0" w:color="auto"/>
              <w:right w:val="single" w:sz="4" w:space="0" w:color="auto"/>
            </w:tcBorders>
            <w:hideMark/>
          </w:tcPr>
          <w:p w:rsidR="001C0133" w:rsidRPr="00720DC2" w:rsidRDefault="00D517D1" w:rsidP="008D1E31">
            <w:pPr>
              <w:tabs>
                <w:tab w:val="left" w:pos="600"/>
              </w:tabs>
              <w:jc w:val="center"/>
              <w:rPr>
                <w:rFonts w:eastAsia="Times New Roman" w:cs="Times New Roman"/>
                <w:sz w:val="24"/>
                <w:szCs w:val="24"/>
                <w:lang w:val="uk-UA"/>
              </w:rPr>
            </w:pPr>
            <w:r>
              <w:rPr>
                <w:sz w:val="24"/>
                <w:szCs w:val="24"/>
                <w:lang w:val="uk-UA"/>
              </w:rPr>
              <w:t>о</w:t>
            </w:r>
            <w:r w:rsidR="001C0133" w:rsidRPr="00720DC2">
              <w:rPr>
                <w:sz w:val="24"/>
                <w:szCs w:val="24"/>
                <w:lang w:val="uk-UA"/>
              </w:rPr>
              <w:t>д.</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17</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17</w:t>
            </w:r>
          </w:p>
        </w:tc>
      </w:tr>
      <w:tr w:rsidR="001C0133" w:rsidRPr="00720DC2" w:rsidTr="00434744">
        <w:trPr>
          <w:trHeight w:val="350"/>
        </w:trPr>
        <w:tc>
          <w:tcPr>
            <w:tcW w:w="3544"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both"/>
              <w:rPr>
                <w:rFonts w:eastAsia="Times New Roman" w:cs="Times New Roman"/>
                <w:sz w:val="24"/>
                <w:szCs w:val="24"/>
                <w:lang w:val="uk-UA"/>
              </w:rPr>
            </w:pPr>
            <w:r w:rsidRPr="00720DC2">
              <w:rPr>
                <w:sz w:val="24"/>
                <w:szCs w:val="24"/>
                <w:lang w:val="uk-UA"/>
              </w:rPr>
              <w:t>Книжковий фонд</w:t>
            </w:r>
          </w:p>
        </w:tc>
        <w:tc>
          <w:tcPr>
            <w:tcW w:w="1418"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center"/>
              <w:rPr>
                <w:rFonts w:eastAsia="Times New Roman" w:cs="Times New Roman"/>
                <w:sz w:val="24"/>
                <w:szCs w:val="24"/>
                <w:lang w:val="uk-UA"/>
              </w:rPr>
            </w:pPr>
            <w:r w:rsidRPr="00720DC2">
              <w:rPr>
                <w:sz w:val="24"/>
                <w:szCs w:val="24"/>
                <w:lang w:val="uk-UA"/>
              </w:rPr>
              <w:t>тис.</w:t>
            </w:r>
          </w:p>
          <w:p w:rsidR="001C0133" w:rsidRPr="00720DC2" w:rsidRDefault="001C0133" w:rsidP="008D1E31">
            <w:pPr>
              <w:tabs>
                <w:tab w:val="left" w:pos="600"/>
              </w:tabs>
              <w:jc w:val="center"/>
              <w:rPr>
                <w:rFonts w:eastAsia="Times New Roman" w:cs="Times New Roman"/>
                <w:sz w:val="24"/>
                <w:szCs w:val="24"/>
                <w:lang w:val="uk-UA"/>
              </w:rPr>
            </w:pPr>
            <w:r w:rsidRPr="00720DC2">
              <w:rPr>
                <w:sz w:val="24"/>
                <w:szCs w:val="24"/>
                <w:lang w:val="uk-UA"/>
              </w:rPr>
              <w:t>прим.</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444865</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440948</w:t>
            </w:r>
          </w:p>
        </w:tc>
      </w:tr>
      <w:tr w:rsidR="001C0133" w:rsidRPr="00720DC2" w:rsidTr="00434744">
        <w:tc>
          <w:tcPr>
            <w:tcW w:w="3544"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both"/>
              <w:rPr>
                <w:rFonts w:eastAsia="Times New Roman" w:cs="Times New Roman"/>
                <w:sz w:val="24"/>
                <w:szCs w:val="24"/>
                <w:lang w:val="uk-UA"/>
              </w:rPr>
            </w:pPr>
            <w:r w:rsidRPr="00720DC2">
              <w:rPr>
                <w:sz w:val="24"/>
                <w:szCs w:val="24"/>
                <w:lang w:val="uk-UA"/>
              </w:rPr>
              <w:t>Кількість читачів у бібліотеках</w:t>
            </w:r>
          </w:p>
        </w:tc>
        <w:tc>
          <w:tcPr>
            <w:tcW w:w="1418"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center"/>
              <w:rPr>
                <w:rFonts w:eastAsia="Times New Roman" w:cs="Times New Roman"/>
                <w:sz w:val="24"/>
                <w:szCs w:val="24"/>
                <w:lang w:val="uk-UA"/>
              </w:rPr>
            </w:pPr>
            <w:r w:rsidRPr="00720DC2">
              <w:rPr>
                <w:sz w:val="24"/>
                <w:szCs w:val="24"/>
                <w:lang w:val="uk-UA"/>
              </w:rPr>
              <w:t>тис.</w:t>
            </w:r>
          </w:p>
          <w:p w:rsidR="001C0133" w:rsidRPr="00720DC2" w:rsidRDefault="001C0133" w:rsidP="008D1E31">
            <w:pPr>
              <w:tabs>
                <w:tab w:val="left" w:pos="600"/>
              </w:tabs>
              <w:jc w:val="center"/>
              <w:rPr>
                <w:rFonts w:eastAsia="Times New Roman" w:cs="Times New Roman"/>
                <w:sz w:val="24"/>
                <w:szCs w:val="24"/>
                <w:lang w:val="uk-UA"/>
              </w:rPr>
            </w:pPr>
            <w:r w:rsidRPr="00720DC2">
              <w:rPr>
                <w:sz w:val="24"/>
                <w:szCs w:val="24"/>
                <w:lang w:val="uk-UA"/>
              </w:rPr>
              <w:t>осіб</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41011</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41437</w:t>
            </w:r>
          </w:p>
        </w:tc>
      </w:tr>
      <w:tr w:rsidR="001C0133" w:rsidRPr="00720DC2" w:rsidTr="00434744">
        <w:tc>
          <w:tcPr>
            <w:tcW w:w="3544"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both"/>
              <w:rPr>
                <w:rFonts w:eastAsia="Times New Roman" w:cs="Times New Roman"/>
                <w:sz w:val="24"/>
                <w:szCs w:val="24"/>
                <w:lang w:val="uk-UA"/>
              </w:rPr>
            </w:pPr>
            <w:r w:rsidRPr="00720DC2">
              <w:rPr>
                <w:sz w:val="24"/>
                <w:szCs w:val="24"/>
                <w:lang w:val="uk-UA"/>
              </w:rPr>
              <w:t>Кількість закладів культури клубного типу</w:t>
            </w:r>
          </w:p>
        </w:tc>
        <w:tc>
          <w:tcPr>
            <w:tcW w:w="1418" w:type="dxa"/>
            <w:tcBorders>
              <w:top w:val="single" w:sz="4" w:space="0" w:color="auto"/>
              <w:left w:val="single" w:sz="4" w:space="0" w:color="auto"/>
              <w:bottom w:val="single" w:sz="4" w:space="0" w:color="auto"/>
              <w:right w:val="single" w:sz="4" w:space="0" w:color="auto"/>
            </w:tcBorders>
            <w:hideMark/>
          </w:tcPr>
          <w:p w:rsidR="001C0133" w:rsidRPr="00720DC2" w:rsidRDefault="00D517D1" w:rsidP="008D1E31">
            <w:pPr>
              <w:tabs>
                <w:tab w:val="left" w:pos="600"/>
              </w:tabs>
              <w:jc w:val="center"/>
              <w:rPr>
                <w:rFonts w:eastAsia="Times New Roman" w:cs="Times New Roman"/>
                <w:sz w:val="24"/>
                <w:szCs w:val="24"/>
                <w:lang w:val="uk-UA"/>
              </w:rPr>
            </w:pPr>
            <w:r>
              <w:rPr>
                <w:sz w:val="24"/>
                <w:szCs w:val="24"/>
                <w:lang w:val="uk-UA"/>
              </w:rPr>
              <w:t>о</w:t>
            </w:r>
            <w:r w:rsidR="001C0133" w:rsidRPr="00720DC2">
              <w:rPr>
                <w:sz w:val="24"/>
                <w:szCs w:val="24"/>
                <w:lang w:val="uk-UA"/>
              </w:rPr>
              <w:t>д.</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10</w:t>
            </w:r>
          </w:p>
          <w:p w:rsidR="001C0133" w:rsidRPr="00720DC2" w:rsidRDefault="001C0133" w:rsidP="008D1E31">
            <w:pPr>
              <w:tabs>
                <w:tab w:val="left" w:pos="600"/>
              </w:tabs>
              <w:jc w:val="center"/>
              <w:rPr>
                <w:rFonts w:eastAsia="Times New Roman" w:cs="Times New Roman"/>
                <w:sz w:val="20"/>
                <w:szCs w:val="20"/>
                <w:lang w:val="uk-UA"/>
              </w:rPr>
            </w:pPr>
            <w:r w:rsidRPr="00720DC2">
              <w:rPr>
                <w:rFonts w:eastAsia="Times New Roman" w:cs="Times New Roman"/>
                <w:sz w:val="20"/>
                <w:szCs w:val="20"/>
                <w:lang w:val="uk-UA"/>
              </w:rPr>
              <w:t>(4 - міські, 1</w:t>
            </w:r>
            <w:r w:rsidR="00434744" w:rsidRPr="00720DC2">
              <w:rPr>
                <w:rFonts w:eastAsia="Times New Roman" w:cs="Times New Roman"/>
                <w:sz w:val="20"/>
                <w:szCs w:val="20"/>
                <w:lang w:val="uk-UA"/>
              </w:rPr>
              <w:t>-</w:t>
            </w:r>
            <w:r w:rsidRPr="00720DC2">
              <w:rPr>
                <w:rFonts w:eastAsia="Times New Roman" w:cs="Times New Roman"/>
                <w:sz w:val="20"/>
                <w:szCs w:val="20"/>
                <w:lang w:val="uk-UA"/>
              </w:rPr>
              <w:t xml:space="preserve"> Центр сучасного мистецтва 5- на території сільських рад)</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10</w:t>
            </w:r>
          </w:p>
          <w:p w:rsidR="001C0133" w:rsidRPr="00720DC2" w:rsidRDefault="001C0133" w:rsidP="008D1E31">
            <w:pPr>
              <w:tabs>
                <w:tab w:val="left" w:pos="600"/>
              </w:tabs>
              <w:jc w:val="center"/>
              <w:rPr>
                <w:rFonts w:eastAsia="Times New Roman" w:cs="Times New Roman"/>
                <w:sz w:val="20"/>
                <w:szCs w:val="20"/>
                <w:lang w:val="uk-UA"/>
              </w:rPr>
            </w:pPr>
            <w:r w:rsidRPr="00720DC2">
              <w:rPr>
                <w:rFonts w:eastAsia="Times New Roman" w:cs="Times New Roman"/>
                <w:sz w:val="20"/>
                <w:szCs w:val="20"/>
                <w:lang w:val="uk-UA"/>
              </w:rPr>
              <w:t>(4 - міські, 1</w:t>
            </w:r>
            <w:r w:rsidR="00434744" w:rsidRPr="00720DC2">
              <w:rPr>
                <w:rFonts w:eastAsia="Times New Roman" w:cs="Times New Roman"/>
                <w:sz w:val="20"/>
                <w:szCs w:val="20"/>
                <w:lang w:val="uk-UA"/>
              </w:rPr>
              <w:t>-</w:t>
            </w:r>
            <w:r w:rsidRPr="00720DC2">
              <w:rPr>
                <w:rFonts w:eastAsia="Times New Roman" w:cs="Times New Roman"/>
                <w:sz w:val="20"/>
                <w:szCs w:val="20"/>
                <w:lang w:val="uk-UA"/>
              </w:rPr>
              <w:t xml:space="preserve"> Центр сучасного мистецтва 5- на території сільських рад)</w:t>
            </w:r>
          </w:p>
        </w:tc>
      </w:tr>
      <w:tr w:rsidR="001C0133" w:rsidRPr="00720DC2" w:rsidTr="00434744">
        <w:tc>
          <w:tcPr>
            <w:tcW w:w="3544"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both"/>
              <w:rPr>
                <w:rFonts w:eastAsia="Times New Roman" w:cs="Times New Roman"/>
                <w:sz w:val="24"/>
                <w:szCs w:val="24"/>
                <w:lang w:val="uk-UA"/>
              </w:rPr>
            </w:pPr>
            <w:r w:rsidRPr="00720DC2">
              <w:rPr>
                <w:sz w:val="24"/>
                <w:szCs w:val="24"/>
                <w:lang w:val="uk-UA"/>
              </w:rPr>
              <w:t>Школи початкової спеціалізованої мистецької освіти</w:t>
            </w:r>
          </w:p>
        </w:tc>
        <w:tc>
          <w:tcPr>
            <w:tcW w:w="1418" w:type="dxa"/>
            <w:tcBorders>
              <w:top w:val="single" w:sz="4" w:space="0" w:color="auto"/>
              <w:left w:val="single" w:sz="4" w:space="0" w:color="auto"/>
              <w:bottom w:val="single" w:sz="4" w:space="0" w:color="auto"/>
              <w:right w:val="single" w:sz="4" w:space="0" w:color="auto"/>
            </w:tcBorders>
            <w:hideMark/>
          </w:tcPr>
          <w:p w:rsidR="001C0133" w:rsidRPr="00720DC2" w:rsidRDefault="00D517D1" w:rsidP="008D1E31">
            <w:pPr>
              <w:tabs>
                <w:tab w:val="left" w:pos="600"/>
              </w:tabs>
              <w:jc w:val="center"/>
              <w:rPr>
                <w:rFonts w:eastAsia="Times New Roman" w:cs="Times New Roman"/>
                <w:sz w:val="24"/>
                <w:szCs w:val="24"/>
                <w:lang w:val="uk-UA"/>
              </w:rPr>
            </w:pPr>
            <w:r>
              <w:rPr>
                <w:sz w:val="24"/>
                <w:szCs w:val="24"/>
                <w:lang w:val="uk-UA"/>
              </w:rPr>
              <w:t>о</w:t>
            </w:r>
            <w:r w:rsidR="001C0133" w:rsidRPr="00720DC2">
              <w:rPr>
                <w:sz w:val="24"/>
                <w:szCs w:val="24"/>
                <w:lang w:val="uk-UA"/>
              </w:rPr>
              <w:t>д.</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5</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5</w:t>
            </w:r>
          </w:p>
        </w:tc>
      </w:tr>
      <w:tr w:rsidR="001C0133" w:rsidRPr="00720DC2" w:rsidTr="00434744">
        <w:tc>
          <w:tcPr>
            <w:tcW w:w="3544"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both"/>
              <w:rPr>
                <w:rFonts w:eastAsia="Times New Roman" w:cs="Times New Roman"/>
                <w:sz w:val="24"/>
                <w:szCs w:val="24"/>
                <w:lang w:val="uk-UA"/>
              </w:rPr>
            </w:pPr>
            <w:r w:rsidRPr="00720DC2">
              <w:rPr>
                <w:sz w:val="24"/>
                <w:szCs w:val="24"/>
                <w:lang w:val="uk-UA"/>
              </w:rPr>
              <w:t>- в них учнів</w:t>
            </w:r>
          </w:p>
        </w:tc>
        <w:tc>
          <w:tcPr>
            <w:tcW w:w="1418"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center"/>
              <w:rPr>
                <w:rFonts w:eastAsia="Times New Roman" w:cs="Times New Roman"/>
                <w:sz w:val="24"/>
                <w:szCs w:val="24"/>
                <w:lang w:val="uk-UA"/>
              </w:rPr>
            </w:pPr>
            <w:r w:rsidRPr="00720DC2">
              <w:rPr>
                <w:sz w:val="24"/>
                <w:szCs w:val="24"/>
                <w:lang w:val="uk-UA"/>
              </w:rPr>
              <w:t>осіб</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2565</w:t>
            </w:r>
          </w:p>
        </w:tc>
        <w:tc>
          <w:tcPr>
            <w:tcW w:w="2126" w:type="dxa"/>
            <w:tcBorders>
              <w:top w:val="single" w:sz="4" w:space="0" w:color="auto"/>
              <w:left w:val="single" w:sz="4" w:space="0" w:color="auto"/>
              <w:bottom w:val="single" w:sz="4" w:space="0" w:color="auto"/>
              <w:right w:val="single" w:sz="4" w:space="0" w:color="auto"/>
            </w:tcBorders>
          </w:tcPr>
          <w:p w:rsidR="001C0133" w:rsidRPr="00720DC2" w:rsidRDefault="001C0133" w:rsidP="008D1E31">
            <w:pPr>
              <w:tabs>
                <w:tab w:val="left" w:pos="600"/>
              </w:tabs>
              <w:jc w:val="center"/>
              <w:rPr>
                <w:rFonts w:eastAsia="Times New Roman" w:cs="Times New Roman"/>
                <w:sz w:val="24"/>
                <w:szCs w:val="24"/>
                <w:lang w:val="uk-UA"/>
              </w:rPr>
            </w:pPr>
            <w:r w:rsidRPr="00720DC2">
              <w:rPr>
                <w:rFonts w:eastAsia="Times New Roman" w:cs="Times New Roman"/>
                <w:sz w:val="24"/>
                <w:szCs w:val="24"/>
                <w:lang w:val="uk-UA"/>
              </w:rPr>
              <w:t>2568</w:t>
            </w:r>
          </w:p>
        </w:tc>
      </w:tr>
      <w:tr w:rsidR="001C0133" w:rsidRPr="00720DC2" w:rsidTr="00434744">
        <w:tc>
          <w:tcPr>
            <w:tcW w:w="3544"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both"/>
              <w:rPr>
                <w:rFonts w:eastAsia="Times New Roman" w:cs="Times New Roman"/>
                <w:sz w:val="24"/>
                <w:szCs w:val="24"/>
                <w:lang w:val="uk-UA"/>
              </w:rPr>
            </w:pPr>
            <w:r w:rsidRPr="00720DC2">
              <w:rPr>
                <w:sz w:val="24"/>
                <w:szCs w:val="24"/>
                <w:lang w:val="uk-UA"/>
              </w:rPr>
              <w:t>Кількість музеїв</w:t>
            </w:r>
          </w:p>
        </w:tc>
        <w:tc>
          <w:tcPr>
            <w:tcW w:w="1418" w:type="dxa"/>
            <w:tcBorders>
              <w:top w:val="single" w:sz="4" w:space="0" w:color="auto"/>
              <w:left w:val="single" w:sz="4" w:space="0" w:color="auto"/>
              <w:bottom w:val="single" w:sz="4" w:space="0" w:color="auto"/>
              <w:right w:val="single" w:sz="4" w:space="0" w:color="auto"/>
            </w:tcBorders>
            <w:hideMark/>
          </w:tcPr>
          <w:p w:rsidR="001C0133" w:rsidRPr="00720DC2" w:rsidRDefault="00D517D1" w:rsidP="008D1E31">
            <w:pPr>
              <w:tabs>
                <w:tab w:val="left" w:pos="600"/>
              </w:tabs>
              <w:jc w:val="center"/>
              <w:rPr>
                <w:rFonts w:eastAsia="Times New Roman" w:cs="Times New Roman"/>
                <w:sz w:val="24"/>
                <w:szCs w:val="24"/>
                <w:lang w:val="uk-UA"/>
              </w:rPr>
            </w:pPr>
            <w:r>
              <w:rPr>
                <w:sz w:val="24"/>
                <w:szCs w:val="24"/>
                <w:lang w:val="uk-UA"/>
              </w:rPr>
              <w:t>о</w:t>
            </w:r>
            <w:r w:rsidR="001C0133" w:rsidRPr="00720DC2">
              <w:rPr>
                <w:sz w:val="24"/>
                <w:szCs w:val="24"/>
                <w:lang w:val="uk-UA"/>
              </w:rPr>
              <w:t>д.</w:t>
            </w:r>
          </w:p>
        </w:tc>
        <w:tc>
          <w:tcPr>
            <w:tcW w:w="2126"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center"/>
              <w:rPr>
                <w:rFonts w:eastAsia="Times New Roman" w:cs="Times New Roman"/>
                <w:sz w:val="24"/>
                <w:szCs w:val="24"/>
                <w:lang w:val="uk-UA"/>
              </w:rPr>
            </w:pPr>
            <w:r w:rsidRPr="00720DC2">
              <w:rPr>
                <w:sz w:val="24"/>
                <w:szCs w:val="24"/>
                <w:lang w:val="uk-UA"/>
              </w:rPr>
              <w:t>16</w:t>
            </w:r>
          </w:p>
        </w:tc>
        <w:tc>
          <w:tcPr>
            <w:tcW w:w="2126" w:type="dxa"/>
            <w:tcBorders>
              <w:top w:val="single" w:sz="4" w:space="0" w:color="auto"/>
              <w:left w:val="single" w:sz="4" w:space="0" w:color="auto"/>
              <w:bottom w:val="single" w:sz="4" w:space="0" w:color="auto"/>
              <w:right w:val="single" w:sz="4" w:space="0" w:color="auto"/>
            </w:tcBorders>
            <w:hideMark/>
          </w:tcPr>
          <w:p w:rsidR="001C0133" w:rsidRPr="00720DC2" w:rsidRDefault="001C0133" w:rsidP="008D1E31">
            <w:pPr>
              <w:tabs>
                <w:tab w:val="left" w:pos="600"/>
              </w:tabs>
              <w:jc w:val="center"/>
              <w:rPr>
                <w:rFonts w:eastAsia="Times New Roman" w:cs="Times New Roman"/>
                <w:sz w:val="24"/>
                <w:szCs w:val="24"/>
                <w:lang w:val="uk-UA"/>
              </w:rPr>
            </w:pPr>
            <w:r w:rsidRPr="00720DC2">
              <w:rPr>
                <w:sz w:val="24"/>
                <w:szCs w:val="24"/>
                <w:lang w:val="uk-UA"/>
              </w:rPr>
              <w:t>16</w:t>
            </w:r>
          </w:p>
        </w:tc>
      </w:tr>
    </w:tbl>
    <w:p w:rsidR="00B5489B" w:rsidRDefault="00B5489B" w:rsidP="00183E22">
      <w:pPr>
        <w:pStyle w:val="a7"/>
        <w:tabs>
          <w:tab w:val="left" w:pos="709"/>
        </w:tabs>
        <w:spacing w:after="0"/>
        <w:ind w:left="1134" w:hanging="450"/>
        <w:jc w:val="both"/>
        <w:outlineLvl w:val="0"/>
        <w:rPr>
          <w:i/>
          <w:sz w:val="28"/>
          <w:szCs w:val="28"/>
          <w:lang w:val="uk-UA"/>
        </w:rPr>
      </w:pPr>
    </w:p>
    <w:p w:rsidR="00183E22" w:rsidRPr="00720DC2" w:rsidRDefault="00183E22" w:rsidP="00183E22">
      <w:pPr>
        <w:pStyle w:val="a7"/>
        <w:tabs>
          <w:tab w:val="left" w:pos="709"/>
        </w:tabs>
        <w:spacing w:after="0"/>
        <w:ind w:left="1134" w:hanging="450"/>
        <w:jc w:val="both"/>
        <w:outlineLvl w:val="0"/>
        <w:rPr>
          <w:i/>
          <w:sz w:val="28"/>
          <w:szCs w:val="28"/>
          <w:lang w:val="uk-UA"/>
        </w:rPr>
      </w:pPr>
      <w:r w:rsidRPr="00720DC2">
        <w:rPr>
          <w:i/>
          <w:sz w:val="28"/>
          <w:szCs w:val="28"/>
          <w:lang w:val="uk-UA"/>
        </w:rPr>
        <w:t>4.5 Фізична культура і спорт</w:t>
      </w:r>
    </w:p>
    <w:p w:rsidR="00183E22" w:rsidRPr="00720DC2" w:rsidRDefault="00183E22" w:rsidP="00183E22">
      <w:pPr>
        <w:ind w:firstLine="708"/>
        <w:jc w:val="both"/>
        <w:rPr>
          <w:lang w:val="uk-UA"/>
        </w:rPr>
      </w:pPr>
      <w:r w:rsidRPr="00720DC2">
        <w:rPr>
          <w:lang w:val="uk-UA"/>
        </w:rPr>
        <w:t>Відповідно до календарного плану спортивно-масових заходів та навчально-тренувальних зборів з олімпійських та неолімпійських видів спорту на 2018 рік впродовж звітного періоду проведено понад 350 заходів та змагань, зокрема:</w:t>
      </w:r>
    </w:p>
    <w:p w:rsidR="00183E22" w:rsidRPr="00720DC2" w:rsidRDefault="00183E22" w:rsidP="00183E22">
      <w:pPr>
        <w:ind w:firstLine="708"/>
        <w:jc w:val="both"/>
        <w:rPr>
          <w:lang w:val="uk-UA"/>
        </w:rPr>
      </w:pPr>
      <w:r w:rsidRPr="00720DC2">
        <w:rPr>
          <w:lang w:val="uk-UA"/>
        </w:rPr>
        <w:t xml:space="preserve">-  баскетбольний турнір серед гравців U – 15 </w:t>
      </w:r>
      <w:r w:rsidR="00D4778A" w:rsidRPr="00720DC2">
        <w:rPr>
          <w:lang w:val="uk-UA"/>
        </w:rPr>
        <w:t>"</w:t>
      </w:r>
      <w:r w:rsidRPr="00720DC2">
        <w:rPr>
          <w:lang w:val="uk-UA"/>
        </w:rPr>
        <w:t>Різдвяний Франківськ</w:t>
      </w:r>
      <w:r w:rsidR="00D4778A" w:rsidRPr="00720DC2">
        <w:rPr>
          <w:lang w:val="uk-UA"/>
        </w:rPr>
        <w:t>"</w:t>
      </w:r>
      <w:r w:rsidRPr="00720DC2">
        <w:rPr>
          <w:lang w:val="uk-UA"/>
        </w:rPr>
        <w:t xml:space="preserve"> на базі коледжу фізичного виховання.  Всього за почесний трофей боролись  п'ять команд - </w:t>
      </w:r>
      <w:r w:rsidR="00D4778A" w:rsidRPr="00720DC2">
        <w:rPr>
          <w:lang w:val="uk-UA"/>
        </w:rPr>
        <w:t>"</w:t>
      </w:r>
      <w:r w:rsidRPr="00720DC2">
        <w:rPr>
          <w:lang w:val="uk-UA"/>
        </w:rPr>
        <w:t xml:space="preserve">КФВ-БК </w:t>
      </w:r>
      <w:r w:rsidR="00D4778A" w:rsidRPr="00720DC2">
        <w:rPr>
          <w:lang w:val="uk-UA"/>
        </w:rPr>
        <w:t>"</w:t>
      </w:r>
      <w:r w:rsidRPr="00720DC2">
        <w:rPr>
          <w:lang w:val="uk-UA"/>
        </w:rPr>
        <w:t>Говерла</w:t>
      </w:r>
      <w:r w:rsidR="00D4778A" w:rsidRPr="00720DC2">
        <w:rPr>
          <w:lang w:val="uk-UA"/>
        </w:rPr>
        <w:t>"</w:t>
      </w:r>
      <w:r w:rsidRPr="00720DC2">
        <w:rPr>
          <w:lang w:val="uk-UA"/>
        </w:rPr>
        <w:t xml:space="preserve"> (Івано-Франківськ), чернівецький БК </w:t>
      </w:r>
      <w:r w:rsidR="00D4778A" w:rsidRPr="00720DC2">
        <w:rPr>
          <w:lang w:val="uk-UA"/>
        </w:rPr>
        <w:t>"</w:t>
      </w:r>
      <w:r w:rsidRPr="00720DC2">
        <w:rPr>
          <w:lang w:val="uk-UA"/>
        </w:rPr>
        <w:t>STARLIFE</w:t>
      </w:r>
      <w:r w:rsidR="00D4778A" w:rsidRPr="00720DC2">
        <w:rPr>
          <w:lang w:val="uk-UA"/>
        </w:rPr>
        <w:t>"</w:t>
      </w:r>
      <w:r w:rsidRPr="00720DC2">
        <w:rPr>
          <w:lang w:val="uk-UA"/>
        </w:rPr>
        <w:t xml:space="preserve">, два склади збірної України U-15 та польський БК </w:t>
      </w:r>
      <w:r w:rsidR="00D4778A" w:rsidRPr="00720DC2">
        <w:rPr>
          <w:lang w:val="uk-UA"/>
        </w:rPr>
        <w:t>"</w:t>
      </w:r>
      <w:r w:rsidRPr="00720DC2">
        <w:rPr>
          <w:lang w:val="uk-UA"/>
        </w:rPr>
        <w:t>Старт</w:t>
      </w:r>
      <w:r w:rsidR="00D4778A" w:rsidRPr="00720DC2">
        <w:rPr>
          <w:lang w:val="uk-UA"/>
        </w:rPr>
        <w:t>"</w:t>
      </w:r>
      <w:r w:rsidRPr="00720DC2">
        <w:rPr>
          <w:lang w:val="uk-UA"/>
        </w:rPr>
        <w:t xml:space="preserve"> (Люблін);</w:t>
      </w:r>
    </w:p>
    <w:p w:rsidR="00183E22" w:rsidRPr="00720DC2" w:rsidRDefault="00183E22" w:rsidP="00183E22">
      <w:pPr>
        <w:shd w:val="clear" w:color="auto" w:fill="FFFFFF" w:themeFill="background1"/>
        <w:ind w:firstLine="708"/>
        <w:jc w:val="both"/>
        <w:rPr>
          <w:lang w:val="uk-UA"/>
        </w:rPr>
      </w:pPr>
      <w:r w:rsidRPr="00720DC2">
        <w:rPr>
          <w:lang w:val="uk-UA"/>
        </w:rPr>
        <w:t>- велопробіг з містами-партнерами, присвячений 356-й річниці від дня заснування міста Івано-Франківська. Велопробіг зібрав понад тисячу учасників;</w:t>
      </w:r>
    </w:p>
    <w:p w:rsidR="00183E22" w:rsidRPr="00720DC2" w:rsidRDefault="00183E22" w:rsidP="00183E22">
      <w:pPr>
        <w:shd w:val="clear" w:color="auto" w:fill="FFFFFF" w:themeFill="background1"/>
        <w:ind w:firstLine="708"/>
        <w:jc w:val="both"/>
        <w:rPr>
          <w:lang w:val="uk-UA"/>
        </w:rPr>
      </w:pPr>
      <w:r w:rsidRPr="00720DC2">
        <w:rPr>
          <w:lang w:val="uk-UA"/>
        </w:rPr>
        <w:t xml:space="preserve">-  ІІ міжнародний турнір з  волейболу, в якому взяли участь збірні команди України, Швеції, Австрії та Республіки Білорусь; </w:t>
      </w:r>
    </w:p>
    <w:p w:rsidR="00183E22" w:rsidRPr="00720DC2" w:rsidRDefault="00183E22" w:rsidP="00183E22">
      <w:pPr>
        <w:shd w:val="clear" w:color="auto" w:fill="FFFFFF" w:themeFill="background1"/>
        <w:ind w:firstLine="708"/>
        <w:jc w:val="both"/>
        <w:rPr>
          <w:lang w:val="uk-UA"/>
        </w:rPr>
      </w:pPr>
      <w:r w:rsidRPr="00720DC2">
        <w:rPr>
          <w:lang w:val="uk-UA"/>
        </w:rPr>
        <w:t>- волейбольну Золоту Євролігу;</w:t>
      </w:r>
    </w:p>
    <w:p w:rsidR="00183E22" w:rsidRPr="00720DC2" w:rsidRDefault="00183E22" w:rsidP="00183E22">
      <w:pPr>
        <w:ind w:firstLine="708"/>
        <w:jc w:val="both"/>
        <w:rPr>
          <w:lang w:val="uk-UA"/>
        </w:rPr>
      </w:pPr>
      <w:r w:rsidRPr="00720DC2">
        <w:rPr>
          <w:lang w:val="uk-UA"/>
        </w:rPr>
        <w:t>- всесвітній біг миру заради гармонії, який проводиться у понад 155 країнах світу з 1987 року. Під час заходу бігуни несуть палаючий факел, передаючи його від руки до руки, долаючи країну за країною. Ще 27 лютого бігуни європейської команди стартували в м.Софія (Болгарія). Європейська частина естафети, що проходила і Україною, охопила  42 країни Європи із загальною довжиною маршруту в 24 тис.км та фінішувала 8 жовтня в Лісабоні, що в Португалії.</w:t>
      </w:r>
      <w:r w:rsidRPr="00720DC2">
        <w:rPr>
          <w:lang w:val="uk-UA"/>
        </w:rPr>
        <w:tab/>
      </w:r>
      <w:r w:rsidRPr="00720DC2">
        <w:rPr>
          <w:lang w:val="uk-UA"/>
        </w:rPr>
        <w:tab/>
      </w:r>
      <w:r w:rsidRPr="00720DC2">
        <w:rPr>
          <w:lang w:val="uk-UA"/>
        </w:rPr>
        <w:tab/>
      </w:r>
      <w:r w:rsidRPr="00720DC2">
        <w:rPr>
          <w:lang w:val="uk-UA"/>
        </w:rPr>
        <w:tab/>
      </w:r>
      <w:r w:rsidRPr="00720DC2">
        <w:rPr>
          <w:lang w:val="uk-UA"/>
        </w:rPr>
        <w:tab/>
      </w:r>
      <w:r w:rsidRPr="00720DC2">
        <w:rPr>
          <w:lang w:val="uk-UA"/>
        </w:rPr>
        <w:tab/>
      </w:r>
      <w:r w:rsidRPr="00720DC2">
        <w:rPr>
          <w:lang w:val="uk-UA"/>
        </w:rPr>
        <w:tab/>
      </w:r>
      <w:r w:rsidRPr="00720DC2">
        <w:rPr>
          <w:lang w:val="uk-UA"/>
        </w:rPr>
        <w:tab/>
      </w:r>
      <w:r w:rsidRPr="00720DC2">
        <w:rPr>
          <w:lang w:val="uk-UA"/>
        </w:rPr>
        <w:tab/>
      </w:r>
    </w:p>
    <w:p w:rsidR="00183E22" w:rsidRPr="00720DC2" w:rsidRDefault="00183E22" w:rsidP="00183E22">
      <w:pPr>
        <w:shd w:val="clear" w:color="auto" w:fill="FFFFFF" w:themeFill="background1"/>
        <w:ind w:firstLine="708"/>
        <w:jc w:val="both"/>
        <w:rPr>
          <w:lang w:val="uk-UA"/>
        </w:rPr>
      </w:pPr>
      <w:r w:rsidRPr="00720DC2">
        <w:rPr>
          <w:lang w:val="uk-UA"/>
        </w:rPr>
        <w:lastRenderedPageBreak/>
        <w:t>С</w:t>
      </w:r>
      <w:r w:rsidRPr="00720DC2">
        <w:rPr>
          <w:shd w:val="clear" w:color="auto" w:fill="FFFFFF"/>
          <w:lang w:val="uk-UA"/>
        </w:rPr>
        <w:t>пільно з інтернет-виданням </w:t>
      </w:r>
      <w:hyperlink r:id="rId20" w:history="1">
        <w:r w:rsidRPr="00C47215">
          <w:rPr>
            <w:rStyle w:val="aa"/>
            <w:color w:val="auto"/>
            <w:u w:val="none"/>
            <w:shd w:val="clear" w:color="auto" w:fill="FFFFFF"/>
            <w:lang w:val="uk-UA"/>
          </w:rPr>
          <w:t>Galka.if.ua</w:t>
        </w:r>
      </w:hyperlink>
      <w:r w:rsidRPr="00720DC2">
        <w:rPr>
          <w:lang w:val="uk-UA"/>
        </w:rPr>
        <w:t xml:space="preserve"> започатковано номінацію </w:t>
      </w:r>
      <w:r w:rsidR="00D4778A" w:rsidRPr="00720DC2">
        <w:rPr>
          <w:lang w:val="uk-UA"/>
        </w:rPr>
        <w:t>"</w:t>
      </w:r>
      <w:r w:rsidRPr="00720DC2">
        <w:rPr>
          <w:shd w:val="clear" w:color="auto" w:fill="FFFFFF"/>
          <w:lang w:val="uk-UA"/>
        </w:rPr>
        <w:t>Найкращий спортсмен місяця</w:t>
      </w:r>
      <w:r w:rsidR="00D4778A" w:rsidRPr="00720DC2">
        <w:rPr>
          <w:lang w:val="uk-UA"/>
        </w:rPr>
        <w:t>"</w:t>
      </w:r>
      <w:r w:rsidRPr="00720DC2">
        <w:rPr>
          <w:lang w:val="uk-UA"/>
        </w:rPr>
        <w:t xml:space="preserve">, де за підсумками голосування членів колегії та інтернет-голосування визначається кращий спортсмен. </w:t>
      </w:r>
    </w:p>
    <w:p w:rsidR="00183E22" w:rsidRPr="00720DC2" w:rsidRDefault="00183E22" w:rsidP="00183E22">
      <w:pPr>
        <w:shd w:val="clear" w:color="auto" w:fill="FFFFFF" w:themeFill="background1"/>
        <w:ind w:firstLine="708"/>
        <w:jc w:val="both"/>
        <w:rPr>
          <w:lang w:val="uk-UA"/>
        </w:rPr>
      </w:pPr>
      <w:r w:rsidRPr="00720DC2">
        <w:rPr>
          <w:lang w:val="uk-UA"/>
        </w:rPr>
        <w:t xml:space="preserve">У 2018 році вперше у нашому місті відбувались змагання з командної гри – Алтимат Фризбі. Це командний неконтактний вид спорту з літаючим диском. У змаганнях взяли участь понад 200 учасників з 5 країн світу. </w:t>
      </w:r>
    </w:p>
    <w:p w:rsidR="00183E22" w:rsidRPr="00720DC2" w:rsidRDefault="00183E22" w:rsidP="00183E22">
      <w:pPr>
        <w:shd w:val="clear" w:color="auto" w:fill="FFFFFF" w:themeFill="background1"/>
        <w:ind w:firstLine="708"/>
        <w:jc w:val="both"/>
        <w:rPr>
          <w:lang w:val="uk-UA"/>
        </w:rPr>
      </w:pPr>
      <w:r w:rsidRPr="00720DC2">
        <w:rPr>
          <w:lang w:val="uk-UA"/>
        </w:rPr>
        <w:t xml:space="preserve">П’ятий рік поспіль у нашому місті проводиться півмарафон Frankivsk Half Marathon. </w:t>
      </w:r>
      <w:r w:rsidR="00631BF3">
        <w:rPr>
          <w:lang w:val="uk-UA"/>
        </w:rPr>
        <w:t>У 2018 році</w:t>
      </w:r>
      <w:r w:rsidRPr="00720DC2">
        <w:rPr>
          <w:lang w:val="uk-UA"/>
        </w:rPr>
        <w:t xml:space="preserve"> участь у ньому взяли понад тисячу бігунів з 63 міст України та 10 країн світу.</w:t>
      </w:r>
    </w:p>
    <w:p w:rsidR="00183E22" w:rsidRPr="00720DC2" w:rsidRDefault="00183E22" w:rsidP="00183E22">
      <w:pPr>
        <w:shd w:val="clear" w:color="auto" w:fill="FFFFFF" w:themeFill="background1"/>
        <w:ind w:firstLine="708"/>
        <w:jc w:val="both"/>
        <w:rPr>
          <w:lang w:val="uk-UA"/>
        </w:rPr>
      </w:pPr>
      <w:r w:rsidRPr="00720DC2">
        <w:rPr>
          <w:lang w:val="uk-UA"/>
        </w:rPr>
        <w:t xml:space="preserve">Проведено чемпіонат України зі спортивної ходьби та XXII міжнародні змагання </w:t>
      </w:r>
      <w:r w:rsidR="00D4778A" w:rsidRPr="00720DC2">
        <w:rPr>
          <w:lang w:val="uk-UA"/>
        </w:rPr>
        <w:t>"</w:t>
      </w:r>
      <w:r w:rsidRPr="00720DC2">
        <w:rPr>
          <w:lang w:val="uk-UA"/>
        </w:rPr>
        <w:t xml:space="preserve">Кубок </w:t>
      </w:r>
      <w:r w:rsidR="00D4778A" w:rsidRPr="00720DC2">
        <w:rPr>
          <w:lang w:val="uk-UA"/>
        </w:rPr>
        <w:t>"</w:t>
      </w:r>
      <w:r w:rsidRPr="00720DC2">
        <w:rPr>
          <w:lang w:val="uk-UA"/>
        </w:rPr>
        <w:t>Вечірній Івано-Франківськ</w:t>
      </w:r>
      <w:r w:rsidR="00D4778A" w:rsidRPr="00720DC2">
        <w:rPr>
          <w:lang w:val="uk-UA"/>
        </w:rPr>
        <w:t>"</w:t>
      </w:r>
      <w:r w:rsidRPr="00720DC2">
        <w:rPr>
          <w:lang w:val="uk-UA"/>
        </w:rPr>
        <w:t>. Позмагатись до Івано-Франківська завітали гості з 14 регіонів України, а також спортсмени з Молдови, Білорусі, Португалії, Греції та Сербії. Окрім цього, обслуговували Кубок міжнародні судді з Німеччини, Греції та Чехії.</w:t>
      </w:r>
    </w:p>
    <w:p w:rsidR="00183E22" w:rsidRPr="00720DC2" w:rsidRDefault="00183E22" w:rsidP="00183E22">
      <w:pPr>
        <w:shd w:val="clear" w:color="auto" w:fill="FFFFFF" w:themeFill="background1"/>
        <w:ind w:firstLine="708"/>
        <w:jc w:val="both"/>
        <w:rPr>
          <w:rFonts w:eastAsia="Times New Roman"/>
          <w:szCs w:val="24"/>
          <w:lang w:val="uk-UA" w:eastAsia="ru-RU"/>
        </w:rPr>
      </w:pPr>
      <w:r w:rsidRPr="00720DC2">
        <w:rPr>
          <w:rFonts w:eastAsia="Times New Roman"/>
          <w:szCs w:val="24"/>
          <w:lang w:val="uk-UA" w:eastAsia="ru-RU"/>
        </w:rPr>
        <w:t>У місті функціонують 13 дитячо-юнацьких спортивних шкіл, в яких займаються 6317 учнів, що становить близько 25% від загальної кількості учнівської молоді міста.</w:t>
      </w:r>
    </w:p>
    <w:p w:rsidR="00CF7F84" w:rsidRDefault="00CF7F84" w:rsidP="00CF7F84">
      <w:pPr>
        <w:ind w:firstLine="708"/>
        <w:jc w:val="both"/>
        <w:rPr>
          <w:rFonts w:eastAsia="Times New Roman"/>
          <w:bCs/>
          <w:lang w:val="uk-UA" w:eastAsia="ru-RU"/>
        </w:rPr>
      </w:pPr>
      <w:r w:rsidRPr="00720DC2">
        <w:rPr>
          <w:rFonts w:eastAsia="Times New Roman"/>
          <w:bCs/>
          <w:lang w:val="uk-UA" w:eastAsia="ru-RU"/>
        </w:rPr>
        <w:t xml:space="preserve">Відповідно до міської Програми розвитку інвалідного спорту на 2018 – 2023 роки" проводилась робота Івано-Франківського міського центру з фізичної культури і спорту інвалідів "Інваспорт". Робота центру спрямована на розвиток і популяризацію спорту серед осіб з інвалідністю міста Івано-Франківська, підвищення рівня проведення змагань, організацію фізкультурно-оздоровчої та спортивної діяльності серед осіб з інвалідністю, у тому числі спорту вищих досягнень, а також фізкультурно-спортивної реабілітації осіб з інвалідністю. Впродовж </w:t>
      </w:r>
      <w:r w:rsidR="00582A43">
        <w:rPr>
          <w:rFonts w:eastAsia="Times New Roman"/>
          <w:bCs/>
          <w:lang w:val="uk-UA" w:eastAsia="ru-RU"/>
        </w:rPr>
        <w:t>2018</w:t>
      </w:r>
      <w:r w:rsidRPr="00720DC2">
        <w:rPr>
          <w:rFonts w:eastAsia="Times New Roman"/>
          <w:bCs/>
          <w:lang w:val="uk-UA" w:eastAsia="ru-RU"/>
        </w:rPr>
        <w:t xml:space="preserve"> року міським центром "Інваспорт" проведено 42 спортивно-масові заходи, в яких взяли участь 1075 осіб з інвалідністю різних вікових груп. </w:t>
      </w:r>
    </w:p>
    <w:p w:rsidR="00715768" w:rsidRPr="00715768" w:rsidRDefault="00715768" w:rsidP="00715768">
      <w:pPr>
        <w:widowControl w:val="0"/>
        <w:ind w:firstLine="709"/>
        <w:jc w:val="both"/>
        <w:rPr>
          <w:rFonts w:cs="Times New Roman"/>
        </w:rPr>
      </w:pPr>
      <w:r>
        <w:rPr>
          <w:rFonts w:eastAsia="Times New Roman"/>
          <w:bCs/>
          <w:lang w:val="uk-UA" w:eastAsia="ru-RU"/>
        </w:rPr>
        <w:t>У 2018 році виконано роботи з ремонту приміщень стадіону "Рух" для приведення його до вимог регламенту ФФУ по футболу, зокрема кімнати тимчасового утримання, встановлено огорожу для гостьового фан-сектора південної трибуни, вхід з турнікетами. Влаштовано 2 великі дитячі спортивні майданчики на вул.Целевича, 1 та вул.Витвицього (сквер "Первоцвіт"). Тривають</w:t>
      </w:r>
      <w:r w:rsidR="001F3B7A">
        <w:rPr>
          <w:rFonts w:eastAsia="Times New Roman"/>
          <w:bCs/>
          <w:lang w:val="uk-UA" w:eastAsia="ru-RU"/>
        </w:rPr>
        <w:t xml:space="preserve"> </w:t>
      </w:r>
      <w:r>
        <w:rPr>
          <w:rFonts w:eastAsia="Times New Roman"/>
          <w:bCs/>
          <w:lang w:val="uk-UA" w:eastAsia="ru-RU"/>
        </w:rPr>
        <w:t xml:space="preserve">роботи з будівництва 2-х обʼєктів: басейну в ФОК по вул. </w:t>
      </w:r>
      <w:r w:rsidRPr="00715768">
        <w:rPr>
          <w:rFonts w:cs="Times New Roman"/>
        </w:rPr>
        <w:t>Симоненка, 13</w:t>
      </w:r>
      <w:r>
        <w:rPr>
          <w:rFonts w:cs="Times New Roman"/>
          <w:bCs/>
          <w:lang w:val="uk-UA"/>
        </w:rPr>
        <w:t xml:space="preserve"> та комплексного спортивного майданчика з полями для ігрових видів спорту в районі вулиць Симоненка, 3в-Вовчинецька, 202.</w:t>
      </w:r>
    </w:p>
    <w:p w:rsidR="004012E8" w:rsidRPr="00720DC2" w:rsidRDefault="004012E8" w:rsidP="004012E8">
      <w:pPr>
        <w:autoSpaceDN w:val="0"/>
        <w:jc w:val="both"/>
        <w:rPr>
          <w:i/>
          <w:lang w:val="uk-UA"/>
        </w:rPr>
      </w:pPr>
      <w:r w:rsidRPr="00720DC2">
        <w:rPr>
          <w:i/>
          <w:lang w:val="uk-UA"/>
        </w:rPr>
        <w:t>Кількісні та якісні показники ефективності реалізації:</w:t>
      </w:r>
    </w:p>
    <w:tbl>
      <w:tblPr>
        <w:tblStyle w:val="25"/>
        <w:tblW w:w="9464" w:type="dxa"/>
        <w:tblLayout w:type="fixed"/>
        <w:tblLook w:val="04A0" w:firstRow="1" w:lastRow="0" w:firstColumn="1" w:lastColumn="0" w:noHBand="0" w:noVBand="1"/>
      </w:tblPr>
      <w:tblGrid>
        <w:gridCol w:w="5637"/>
        <w:gridCol w:w="1275"/>
        <w:gridCol w:w="1276"/>
        <w:gridCol w:w="1276"/>
      </w:tblGrid>
      <w:tr w:rsidR="004012E8" w:rsidRPr="00720DC2" w:rsidTr="003866A9">
        <w:trPr>
          <w:trHeight w:val="550"/>
        </w:trPr>
        <w:tc>
          <w:tcPr>
            <w:tcW w:w="5637" w:type="dxa"/>
            <w:tcBorders>
              <w:top w:val="single" w:sz="4" w:space="0" w:color="auto"/>
              <w:left w:val="single" w:sz="4" w:space="0" w:color="auto"/>
              <w:bottom w:val="single" w:sz="4" w:space="0" w:color="auto"/>
              <w:right w:val="single" w:sz="4" w:space="0" w:color="auto"/>
            </w:tcBorders>
            <w:vAlign w:val="center"/>
            <w:hideMark/>
          </w:tcPr>
          <w:p w:rsidR="004012E8" w:rsidRPr="00720DC2" w:rsidRDefault="004012E8" w:rsidP="00CC5BBE">
            <w:pPr>
              <w:jc w:val="center"/>
              <w:rPr>
                <w:rFonts w:eastAsia="Times New Roman" w:cs="Times New Roman"/>
                <w:b/>
                <w:sz w:val="24"/>
                <w:szCs w:val="24"/>
                <w:lang w:val="uk-UA"/>
              </w:rPr>
            </w:pPr>
            <w:r w:rsidRPr="00720DC2">
              <w:rPr>
                <w:rFonts w:cs="Times New Roman"/>
                <w:b/>
                <w:sz w:val="24"/>
                <w:szCs w:val="24"/>
                <w:lang w:val="uk-UA"/>
              </w:rPr>
              <w:t>Показники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12E8" w:rsidRPr="00720DC2" w:rsidRDefault="004012E8" w:rsidP="00CC5BBE">
            <w:pPr>
              <w:jc w:val="center"/>
              <w:rPr>
                <w:rFonts w:eastAsia="Times New Roman" w:cs="Times New Roman"/>
                <w:b/>
                <w:sz w:val="24"/>
                <w:szCs w:val="24"/>
                <w:lang w:val="uk-UA"/>
              </w:rPr>
            </w:pPr>
            <w:r w:rsidRPr="00720DC2">
              <w:rPr>
                <w:rFonts w:cs="Times New Roman"/>
                <w:b/>
                <w:sz w:val="24"/>
                <w:szCs w:val="24"/>
                <w:lang w:val="uk-UA"/>
              </w:rPr>
              <w:t>Один</w:t>
            </w:r>
            <w:r w:rsidR="0040745B">
              <w:rPr>
                <w:rFonts w:cs="Times New Roman"/>
                <w:b/>
                <w:sz w:val="24"/>
                <w:szCs w:val="24"/>
                <w:lang w:val="uk-UA"/>
              </w:rPr>
              <w:t>иці</w:t>
            </w:r>
            <w:r w:rsidRPr="00720DC2">
              <w:rPr>
                <w:rFonts w:cs="Times New Roman"/>
                <w:b/>
                <w:sz w:val="24"/>
                <w:szCs w:val="24"/>
                <w:lang w:val="uk-UA"/>
              </w:rPr>
              <w:t xml:space="preserve">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2E8" w:rsidRPr="00720DC2" w:rsidRDefault="004012E8" w:rsidP="00CC5BBE">
            <w:pPr>
              <w:jc w:val="center"/>
              <w:rPr>
                <w:rFonts w:eastAsia="Times New Roman" w:cs="Times New Roman"/>
                <w:b/>
                <w:sz w:val="24"/>
                <w:szCs w:val="24"/>
                <w:lang w:val="uk-UA"/>
              </w:rPr>
            </w:pPr>
            <w:r w:rsidRPr="00720DC2">
              <w:rPr>
                <w:rFonts w:cs="Times New Roman"/>
                <w:b/>
                <w:sz w:val="24"/>
                <w:szCs w:val="24"/>
                <w:lang w:val="uk-UA"/>
              </w:rPr>
              <w:t>2017р.</w:t>
            </w:r>
          </w:p>
          <w:p w:rsidR="004012E8" w:rsidRPr="00720DC2" w:rsidRDefault="004012E8" w:rsidP="00CC5BBE">
            <w:pPr>
              <w:jc w:val="center"/>
              <w:rPr>
                <w:rFonts w:eastAsia="Times New Roman" w:cs="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4012E8" w:rsidRPr="00720DC2" w:rsidRDefault="004012E8" w:rsidP="00CC5BBE">
            <w:pPr>
              <w:jc w:val="center"/>
              <w:rPr>
                <w:rFonts w:eastAsia="Times New Roman" w:cs="Times New Roman"/>
                <w:b/>
                <w:sz w:val="24"/>
                <w:szCs w:val="24"/>
                <w:lang w:val="uk-UA"/>
              </w:rPr>
            </w:pPr>
            <w:r w:rsidRPr="00720DC2">
              <w:rPr>
                <w:rFonts w:cs="Times New Roman"/>
                <w:b/>
                <w:sz w:val="24"/>
                <w:szCs w:val="24"/>
                <w:lang w:val="uk-UA"/>
              </w:rPr>
              <w:t>2018р.</w:t>
            </w:r>
          </w:p>
          <w:p w:rsidR="004012E8" w:rsidRPr="00720DC2" w:rsidRDefault="004012E8" w:rsidP="00CC5BBE">
            <w:pPr>
              <w:jc w:val="center"/>
              <w:rPr>
                <w:rFonts w:eastAsia="Times New Roman" w:cs="Times New Roman"/>
                <w:b/>
                <w:sz w:val="24"/>
                <w:szCs w:val="24"/>
                <w:lang w:val="uk-UA"/>
              </w:rPr>
            </w:pPr>
          </w:p>
        </w:tc>
      </w:tr>
      <w:tr w:rsidR="004012E8" w:rsidRPr="00720DC2" w:rsidTr="003866A9">
        <w:trPr>
          <w:trHeight w:val="289"/>
        </w:trPr>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Кількість дитячо-юнацьких спортивних шкіл</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одиниць</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13</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13</w:t>
            </w:r>
          </w:p>
        </w:tc>
      </w:tr>
      <w:tr w:rsidR="004012E8" w:rsidRPr="00720DC2" w:rsidTr="003866A9">
        <w:trPr>
          <w:trHeight w:val="349"/>
        </w:trPr>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 xml:space="preserve">Кількість дітей, які відвідують ДЮСШ </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осіб</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6317</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6258</w:t>
            </w:r>
          </w:p>
        </w:tc>
      </w:tr>
      <w:tr w:rsidR="004012E8" w:rsidRPr="00720DC2" w:rsidTr="003866A9">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Спортивні клуби та організації</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59</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62</w:t>
            </w:r>
          </w:p>
        </w:tc>
      </w:tr>
      <w:tr w:rsidR="004012E8" w:rsidRPr="00720DC2" w:rsidTr="003866A9">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Стадіони</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8</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8</w:t>
            </w:r>
          </w:p>
        </w:tc>
      </w:tr>
      <w:tr w:rsidR="004012E8" w:rsidRPr="00720DC2" w:rsidTr="003866A9">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Спортивні зали</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70</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70</w:t>
            </w:r>
          </w:p>
        </w:tc>
      </w:tr>
      <w:tr w:rsidR="004012E8" w:rsidRPr="00720DC2" w:rsidTr="003866A9">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Басейни</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10</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10</w:t>
            </w:r>
          </w:p>
        </w:tc>
      </w:tr>
      <w:tr w:rsidR="004012E8" w:rsidRPr="00720DC2" w:rsidTr="003866A9">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Футбольні поля</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26</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26</w:t>
            </w:r>
          </w:p>
        </w:tc>
      </w:tr>
      <w:tr w:rsidR="004012E8" w:rsidRPr="00720DC2" w:rsidTr="003866A9">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Футбольні площадки із синтетичним покриттям</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21</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28</w:t>
            </w:r>
          </w:p>
        </w:tc>
      </w:tr>
      <w:tr w:rsidR="004012E8" w:rsidRPr="00720DC2" w:rsidTr="003866A9">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Спортивні майданчики</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131</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136</w:t>
            </w:r>
          </w:p>
        </w:tc>
      </w:tr>
      <w:tr w:rsidR="004012E8" w:rsidRPr="00720DC2" w:rsidTr="003866A9">
        <w:tc>
          <w:tcPr>
            <w:tcW w:w="5637" w:type="dxa"/>
            <w:tcBorders>
              <w:top w:val="single" w:sz="4" w:space="0" w:color="auto"/>
              <w:left w:val="single" w:sz="4" w:space="0" w:color="auto"/>
              <w:bottom w:val="single" w:sz="4" w:space="0" w:color="auto"/>
              <w:right w:val="single" w:sz="4" w:space="0" w:color="auto"/>
            </w:tcBorders>
            <w:hideMark/>
          </w:tcPr>
          <w:p w:rsidR="004012E8" w:rsidRPr="00720DC2" w:rsidRDefault="004012E8">
            <w:pPr>
              <w:rPr>
                <w:rFonts w:eastAsia="Times New Roman" w:cs="Times New Roman"/>
                <w:color w:val="000000"/>
                <w:sz w:val="24"/>
                <w:szCs w:val="24"/>
                <w:lang w:val="uk-UA"/>
              </w:rPr>
            </w:pPr>
            <w:r w:rsidRPr="00720DC2">
              <w:rPr>
                <w:rFonts w:cs="Times New Roman"/>
                <w:color w:val="000000"/>
                <w:sz w:val="24"/>
                <w:szCs w:val="24"/>
                <w:lang w:val="uk-UA"/>
              </w:rPr>
              <w:t>Тенісні корти</w:t>
            </w:r>
          </w:p>
        </w:tc>
        <w:tc>
          <w:tcPr>
            <w:tcW w:w="1275" w:type="dxa"/>
            <w:tcBorders>
              <w:top w:val="single" w:sz="4" w:space="0" w:color="auto"/>
              <w:left w:val="single" w:sz="4" w:space="0" w:color="auto"/>
              <w:bottom w:val="single" w:sz="4" w:space="0" w:color="auto"/>
              <w:right w:val="single" w:sz="4" w:space="0" w:color="auto"/>
            </w:tcBorders>
            <w:hideMark/>
          </w:tcPr>
          <w:p w:rsidR="004012E8" w:rsidRPr="00720DC2" w:rsidRDefault="004012E8" w:rsidP="00014FEC">
            <w:pPr>
              <w:jc w:val="center"/>
              <w:rPr>
                <w:rFonts w:eastAsia="Times New Roman" w:cs="Times New Roman"/>
                <w:sz w:val="24"/>
                <w:szCs w:val="24"/>
                <w:lang w:val="uk-UA"/>
              </w:rPr>
            </w:pPr>
            <w:r w:rsidRPr="00720DC2">
              <w:rPr>
                <w:rFonts w:cs="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hideMark/>
          </w:tcPr>
          <w:p w:rsidR="004012E8" w:rsidRPr="00720DC2" w:rsidRDefault="004012E8">
            <w:pPr>
              <w:jc w:val="center"/>
              <w:rPr>
                <w:rFonts w:eastAsia="Times New Roman" w:cs="Times New Roman"/>
                <w:sz w:val="24"/>
                <w:szCs w:val="24"/>
                <w:lang w:val="uk-UA"/>
              </w:rPr>
            </w:pPr>
            <w:r w:rsidRPr="00720DC2">
              <w:rPr>
                <w:rFonts w:cs="Times New Roman"/>
                <w:sz w:val="24"/>
                <w:szCs w:val="24"/>
                <w:lang w:val="uk-UA"/>
              </w:rPr>
              <w:t>24</w:t>
            </w:r>
          </w:p>
        </w:tc>
        <w:tc>
          <w:tcPr>
            <w:tcW w:w="1276" w:type="dxa"/>
            <w:tcBorders>
              <w:top w:val="single" w:sz="4" w:space="0" w:color="auto"/>
              <w:left w:val="single" w:sz="4" w:space="0" w:color="auto"/>
              <w:bottom w:val="single" w:sz="4" w:space="0" w:color="auto"/>
              <w:right w:val="single" w:sz="4" w:space="0" w:color="auto"/>
            </w:tcBorders>
          </w:tcPr>
          <w:p w:rsidR="004012E8" w:rsidRPr="00720DC2" w:rsidRDefault="004012E8" w:rsidP="004012E8">
            <w:pPr>
              <w:jc w:val="center"/>
              <w:rPr>
                <w:rFonts w:eastAsia="Times New Roman" w:cs="Times New Roman"/>
                <w:sz w:val="24"/>
                <w:szCs w:val="24"/>
                <w:lang w:val="uk-UA"/>
              </w:rPr>
            </w:pPr>
            <w:r w:rsidRPr="00720DC2">
              <w:rPr>
                <w:rFonts w:eastAsia="Times New Roman" w:cs="Times New Roman"/>
                <w:sz w:val="24"/>
                <w:szCs w:val="24"/>
                <w:lang w:val="uk-UA"/>
              </w:rPr>
              <w:t>24</w:t>
            </w:r>
          </w:p>
        </w:tc>
      </w:tr>
    </w:tbl>
    <w:p w:rsidR="00183E22" w:rsidRPr="00720DC2" w:rsidRDefault="00C0355C" w:rsidP="00C0355C">
      <w:pPr>
        <w:pStyle w:val="a7"/>
        <w:tabs>
          <w:tab w:val="left" w:pos="709"/>
        </w:tabs>
        <w:spacing w:after="0"/>
        <w:jc w:val="both"/>
        <w:outlineLvl w:val="0"/>
        <w:rPr>
          <w:bCs/>
          <w:i/>
          <w:sz w:val="28"/>
          <w:szCs w:val="28"/>
          <w:lang w:val="uk-UA"/>
        </w:rPr>
      </w:pPr>
      <w:r>
        <w:rPr>
          <w:bCs/>
          <w:i/>
          <w:sz w:val="28"/>
          <w:szCs w:val="28"/>
          <w:lang w:val="uk-UA"/>
        </w:rPr>
        <w:lastRenderedPageBreak/>
        <w:t xml:space="preserve"> 4.6. </w:t>
      </w:r>
      <w:r w:rsidR="00183E22" w:rsidRPr="00720DC2">
        <w:rPr>
          <w:bCs/>
          <w:i/>
          <w:sz w:val="28"/>
          <w:szCs w:val="28"/>
          <w:lang w:val="uk-UA"/>
        </w:rPr>
        <w:t>Ринок праці та зайнятість населення</w:t>
      </w:r>
    </w:p>
    <w:p w:rsidR="00183E22" w:rsidRPr="00720DC2" w:rsidRDefault="00183E22" w:rsidP="00183E22">
      <w:pPr>
        <w:pStyle w:val="a7"/>
        <w:tabs>
          <w:tab w:val="left" w:pos="709"/>
        </w:tabs>
        <w:spacing w:after="0"/>
        <w:ind w:left="0"/>
        <w:jc w:val="both"/>
        <w:outlineLvl w:val="0"/>
        <w:rPr>
          <w:sz w:val="28"/>
          <w:szCs w:val="28"/>
          <w:lang w:val="uk-UA"/>
        </w:rPr>
      </w:pPr>
      <w:r w:rsidRPr="00720DC2">
        <w:rPr>
          <w:sz w:val="28"/>
          <w:szCs w:val="28"/>
          <w:lang w:val="uk-UA"/>
        </w:rPr>
        <w:tab/>
        <w:t xml:space="preserve">Кількість зареєстрованих безробітних на кінець </w:t>
      </w:r>
      <w:r w:rsidR="00F96BAC" w:rsidRPr="00720DC2">
        <w:rPr>
          <w:sz w:val="28"/>
          <w:szCs w:val="28"/>
          <w:lang w:val="uk-UA"/>
        </w:rPr>
        <w:t>грудня</w:t>
      </w:r>
      <w:r w:rsidR="006253FF" w:rsidRPr="00720DC2">
        <w:rPr>
          <w:sz w:val="28"/>
          <w:szCs w:val="28"/>
          <w:lang w:val="uk-UA"/>
        </w:rPr>
        <w:t xml:space="preserve"> </w:t>
      </w:r>
      <w:r w:rsidRPr="00720DC2">
        <w:rPr>
          <w:sz w:val="28"/>
          <w:szCs w:val="28"/>
          <w:lang w:val="uk-UA"/>
        </w:rPr>
        <w:t xml:space="preserve">2018р. становила </w:t>
      </w:r>
      <w:r w:rsidR="00F96BAC" w:rsidRPr="00720DC2">
        <w:rPr>
          <w:sz w:val="28"/>
          <w:szCs w:val="28"/>
          <w:lang w:val="uk-UA"/>
        </w:rPr>
        <w:t>1391</w:t>
      </w:r>
      <w:r w:rsidRPr="00720DC2">
        <w:rPr>
          <w:sz w:val="28"/>
          <w:szCs w:val="28"/>
          <w:lang w:val="uk-UA"/>
        </w:rPr>
        <w:t xml:space="preserve"> ос</w:t>
      </w:r>
      <w:r w:rsidR="00CD265D">
        <w:rPr>
          <w:sz w:val="28"/>
          <w:szCs w:val="28"/>
          <w:lang w:val="uk-UA"/>
        </w:rPr>
        <w:t>о</w:t>
      </w:r>
      <w:r w:rsidRPr="00720DC2">
        <w:rPr>
          <w:sz w:val="28"/>
          <w:szCs w:val="28"/>
          <w:lang w:val="uk-UA"/>
        </w:rPr>
        <w:t>б</w:t>
      </w:r>
      <w:r w:rsidR="00CD265D">
        <w:rPr>
          <w:sz w:val="28"/>
          <w:szCs w:val="28"/>
          <w:lang w:val="uk-UA"/>
        </w:rPr>
        <w:t>у</w:t>
      </w:r>
      <w:r w:rsidRPr="00720DC2">
        <w:rPr>
          <w:sz w:val="28"/>
          <w:szCs w:val="28"/>
          <w:lang w:val="uk-UA"/>
        </w:rPr>
        <w:t xml:space="preserve">, з них допомогу по безробіттю отримували </w:t>
      </w:r>
      <w:r w:rsidR="00F96BAC" w:rsidRPr="00720DC2">
        <w:rPr>
          <w:sz w:val="28"/>
          <w:szCs w:val="28"/>
          <w:lang w:val="uk-UA"/>
        </w:rPr>
        <w:t>84</w:t>
      </w:r>
      <w:r w:rsidRPr="00720DC2">
        <w:rPr>
          <w:sz w:val="28"/>
          <w:szCs w:val="28"/>
          <w:lang w:val="uk-UA"/>
        </w:rPr>
        <w:t xml:space="preserve">%. Із загальної кількості безробітних </w:t>
      </w:r>
      <w:r w:rsidR="006253FF" w:rsidRPr="00720DC2">
        <w:rPr>
          <w:sz w:val="28"/>
          <w:szCs w:val="28"/>
          <w:lang w:val="uk-UA"/>
        </w:rPr>
        <w:t>64,</w:t>
      </w:r>
      <w:r w:rsidR="00AA2545" w:rsidRPr="00720DC2">
        <w:rPr>
          <w:sz w:val="28"/>
          <w:szCs w:val="28"/>
          <w:lang w:val="uk-UA"/>
        </w:rPr>
        <w:t>3</w:t>
      </w:r>
      <w:r w:rsidRPr="00720DC2">
        <w:rPr>
          <w:sz w:val="28"/>
          <w:szCs w:val="28"/>
          <w:lang w:val="uk-UA"/>
        </w:rPr>
        <w:t xml:space="preserve">% складали жінки, </w:t>
      </w:r>
      <w:r w:rsidR="006253FF" w:rsidRPr="00720DC2">
        <w:rPr>
          <w:sz w:val="28"/>
          <w:szCs w:val="28"/>
          <w:lang w:val="uk-UA"/>
        </w:rPr>
        <w:t>4</w:t>
      </w:r>
      <w:r w:rsidR="00AA2545" w:rsidRPr="00720DC2">
        <w:rPr>
          <w:sz w:val="28"/>
          <w:szCs w:val="28"/>
          <w:lang w:val="uk-UA"/>
        </w:rPr>
        <w:t>1</w:t>
      </w:r>
      <w:r w:rsidR="006253FF" w:rsidRPr="00720DC2">
        <w:rPr>
          <w:sz w:val="28"/>
          <w:szCs w:val="28"/>
          <w:lang w:val="uk-UA"/>
        </w:rPr>
        <w:t>,</w:t>
      </w:r>
      <w:r w:rsidR="00AA2545" w:rsidRPr="00720DC2">
        <w:rPr>
          <w:sz w:val="28"/>
          <w:szCs w:val="28"/>
          <w:lang w:val="uk-UA"/>
        </w:rPr>
        <w:t>3</w:t>
      </w:r>
      <w:r w:rsidR="006253FF" w:rsidRPr="00720DC2">
        <w:rPr>
          <w:sz w:val="28"/>
          <w:szCs w:val="28"/>
          <w:lang w:val="uk-UA"/>
        </w:rPr>
        <w:t>%</w:t>
      </w:r>
      <w:r w:rsidRPr="00720DC2">
        <w:rPr>
          <w:sz w:val="28"/>
          <w:szCs w:val="28"/>
          <w:lang w:val="uk-UA"/>
        </w:rPr>
        <w:t xml:space="preserve"> – молодь у віці до 35 років. </w:t>
      </w:r>
    </w:p>
    <w:p w:rsidR="00183E22" w:rsidRPr="00720DC2" w:rsidRDefault="00183E22" w:rsidP="00183E22">
      <w:pPr>
        <w:pStyle w:val="a7"/>
        <w:tabs>
          <w:tab w:val="left" w:pos="709"/>
        </w:tabs>
        <w:spacing w:after="0"/>
        <w:ind w:left="0"/>
        <w:jc w:val="both"/>
        <w:outlineLvl w:val="0"/>
        <w:rPr>
          <w:i/>
          <w:sz w:val="28"/>
          <w:lang w:val="uk-UA"/>
        </w:rPr>
      </w:pPr>
      <w:r w:rsidRPr="00720DC2">
        <w:rPr>
          <w:i/>
          <w:sz w:val="28"/>
          <w:lang w:val="uk-UA"/>
        </w:rPr>
        <w:t>Структура зареєстрованих безробітних за окремими соціальними групами: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276"/>
        <w:gridCol w:w="1418"/>
        <w:gridCol w:w="1275"/>
      </w:tblGrid>
      <w:tr w:rsidR="00183E22" w:rsidRPr="00720DC2" w:rsidTr="00014FEC">
        <w:trPr>
          <w:cantSplit/>
        </w:trPr>
        <w:tc>
          <w:tcPr>
            <w:tcW w:w="5103" w:type="dxa"/>
            <w:vMerge w:val="restart"/>
          </w:tcPr>
          <w:p w:rsidR="00183E22" w:rsidRPr="00720DC2" w:rsidRDefault="00183E22" w:rsidP="00183E22">
            <w:pPr>
              <w:jc w:val="both"/>
              <w:rPr>
                <w:sz w:val="24"/>
                <w:szCs w:val="24"/>
                <w:lang w:val="uk-UA"/>
              </w:rPr>
            </w:pPr>
          </w:p>
          <w:p w:rsidR="00183E22" w:rsidRPr="00720DC2" w:rsidRDefault="00183E22" w:rsidP="00183E22">
            <w:pPr>
              <w:jc w:val="both"/>
              <w:rPr>
                <w:sz w:val="24"/>
                <w:szCs w:val="24"/>
                <w:lang w:val="uk-UA"/>
              </w:rPr>
            </w:pPr>
          </w:p>
          <w:p w:rsidR="00183E22" w:rsidRPr="00720DC2" w:rsidRDefault="00183E22" w:rsidP="00183E22">
            <w:pPr>
              <w:jc w:val="both"/>
              <w:rPr>
                <w:sz w:val="24"/>
                <w:szCs w:val="24"/>
                <w:lang w:val="uk-UA"/>
              </w:rPr>
            </w:pPr>
          </w:p>
          <w:p w:rsidR="00183E22" w:rsidRPr="00720DC2" w:rsidRDefault="00183E22" w:rsidP="00183E22">
            <w:pPr>
              <w:jc w:val="both"/>
              <w:rPr>
                <w:sz w:val="24"/>
                <w:szCs w:val="24"/>
                <w:lang w:val="uk-UA"/>
              </w:rPr>
            </w:pPr>
          </w:p>
        </w:tc>
        <w:tc>
          <w:tcPr>
            <w:tcW w:w="3969" w:type="dxa"/>
            <w:gridSpan w:val="3"/>
            <w:vAlign w:val="center"/>
          </w:tcPr>
          <w:p w:rsidR="00183E22" w:rsidRPr="00720DC2" w:rsidRDefault="00183E22" w:rsidP="0002754B">
            <w:pPr>
              <w:jc w:val="center"/>
              <w:rPr>
                <w:sz w:val="24"/>
                <w:szCs w:val="24"/>
                <w:lang w:val="uk-UA"/>
              </w:rPr>
            </w:pPr>
            <w:r w:rsidRPr="00720DC2">
              <w:rPr>
                <w:sz w:val="24"/>
                <w:szCs w:val="24"/>
                <w:lang w:val="uk-UA"/>
              </w:rPr>
              <w:t xml:space="preserve">Кількість  зареєстрованих  безробітних на кінець </w:t>
            </w:r>
            <w:r w:rsidR="00AA2545" w:rsidRPr="00720DC2">
              <w:rPr>
                <w:sz w:val="24"/>
                <w:szCs w:val="24"/>
                <w:lang w:val="uk-UA"/>
              </w:rPr>
              <w:t>грудня</w:t>
            </w:r>
            <w:r w:rsidRPr="00720DC2">
              <w:rPr>
                <w:sz w:val="24"/>
                <w:szCs w:val="24"/>
                <w:lang w:val="uk-UA"/>
              </w:rPr>
              <w:t xml:space="preserve"> 2018р.</w:t>
            </w:r>
          </w:p>
        </w:tc>
      </w:tr>
      <w:tr w:rsidR="00183E22" w:rsidRPr="00720DC2" w:rsidTr="00014FEC">
        <w:trPr>
          <w:cantSplit/>
          <w:trHeight w:val="283"/>
        </w:trPr>
        <w:tc>
          <w:tcPr>
            <w:tcW w:w="5103" w:type="dxa"/>
            <w:vMerge/>
          </w:tcPr>
          <w:p w:rsidR="00183E22" w:rsidRPr="00720DC2" w:rsidRDefault="00183E22" w:rsidP="00183E22">
            <w:pPr>
              <w:jc w:val="both"/>
              <w:rPr>
                <w:sz w:val="24"/>
                <w:szCs w:val="24"/>
                <w:lang w:val="uk-UA"/>
              </w:rPr>
            </w:pPr>
          </w:p>
        </w:tc>
        <w:tc>
          <w:tcPr>
            <w:tcW w:w="1276" w:type="dxa"/>
            <w:vMerge w:val="restart"/>
            <w:vAlign w:val="center"/>
          </w:tcPr>
          <w:p w:rsidR="00183E22" w:rsidRPr="00720DC2" w:rsidRDefault="00183E22" w:rsidP="00183E22">
            <w:pPr>
              <w:jc w:val="center"/>
              <w:rPr>
                <w:sz w:val="24"/>
                <w:szCs w:val="24"/>
                <w:lang w:val="uk-UA"/>
              </w:rPr>
            </w:pPr>
            <w:r w:rsidRPr="00720DC2">
              <w:rPr>
                <w:sz w:val="24"/>
                <w:szCs w:val="24"/>
                <w:lang w:val="uk-UA"/>
              </w:rPr>
              <w:t>осіб</w:t>
            </w:r>
          </w:p>
        </w:tc>
        <w:tc>
          <w:tcPr>
            <w:tcW w:w="2693" w:type="dxa"/>
            <w:gridSpan w:val="2"/>
            <w:vAlign w:val="center"/>
          </w:tcPr>
          <w:p w:rsidR="00183E22" w:rsidRPr="00720DC2" w:rsidRDefault="00183E22" w:rsidP="00183E22">
            <w:pPr>
              <w:ind w:firstLine="108"/>
              <w:jc w:val="center"/>
              <w:rPr>
                <w:sz w:val="24"/>
                <w:szCs w:val="24"/>
                <w:lang w:val="uk-UA"/>
              </w:rPr>
            </w:pPr>
            <w:r w:rsidRPr="00720DC2">
              <w:rPr>
                <w:sz w:val="24"/>
                <w:szCs w:val="24"/>
                <w:lang w:val="uk-UA"/>
              </w:rPr>
              <w:t>у % до</w:t>
            </w:r>
          </w:p>
        </w:tc>
      </w:tr>
      <w:tr w:rsidR="00183E22" w:rsidRPr="00720DC2" w:rsidTr="00014FEC">
        <w:trPr>
          <w:cantSplit/>
          <w:trHeight w:val="283"/>
        </w:trPr>
        <w:tc>
          <w:tcPr>
            <w:tcW w:w="5103" w:type="dxa"/>
            <w:vMerge/>
          </w:tcPr>
          <w:p w:rsidR="00183E22" w:rsidRPr="00720DC2" w:rsidRDefault="00183E22" w:rsidP="00183E22">
            <w:pPr>
              <w:jc w:val="both"/>
              <w:rPr>
                <w:sz w:val="24"/>
                <w:szCs w:val="24"/>
                <w:lang w:val="uk-UA"/>
              </w:rPr>
            </w:pPr>
          </w:p>
        </w:tc>
        <w:tc>
          <w:tcPr>
            <w:tcW w:w="1276" w:type="dxa"/>
            <w:vMerge/>
            <w:vAlign w:val="center"/>
          </w:tcPr>
          <w:p w:rsidR="00183E22" w:rsidRPr="00720DC2" w:rsidRDefault="00183E22" w:rsidP="00183E22">
            <w:pPr>
              <w:jc w:val="center"/>
              <w:rPr>
                <w:sz w:val="24"/>
                <w:szCs w:val="24"/>
                <w:lang w:val="uk-UA"/>
              </w:rPr>
            </w:pPr>
          </w:p>
        </w:tc>
        <w:tc>
          <w:tcPr>
            <w:tcW w:w="1418" w:type="dxa"/>
            <w:vAlign w:val="center"/>
          </w:tcPr>
          <w:p w:rsidR="00183E22" w:rsidRPr="00720DC2" w:rsidRDefault="00AA2545" w:rsidP="00183E22">
            <w:pPr>
              <w:jc w:val="center"/>
              <w:rPr>
                <w:sz w:val="24"/>
                <w:szCs w:val="24"/>
                <w:lang w:val="uk-UA"/>
              </w:rPr>
            </w:pPr>
            <w:r w:rsidRPr="00720DC2">
              <w:rPr>
                <w:sz w:val="24"/>
                <w:szCs w:val="24"/>
                <w:lang w:val="uk-UA"/>
              </w:rPr>
              <w:t>грудень</w:t>
            </w:r>
            <w:r w:rsidR="00183E22" w:rsidRPr="00720DC2">
              <w:rPr>
                <w:sz w:val="24"/>
                <w:szCs w:val="24"/>
                <w:lang w:val="uk-UA"/>
              </w:rPr>
              <w:t xml:space="preserve"> 2018р.</w:t>
            </w:r>
          </w:p>
        </w:tc>
        <w:tc>
          <w:tcPr>
            <w:tcW w:w="1275" w:type="dxa"/>
            <w:vAlign w:val="center"/>
          </w:tcPr>
          <w:p w:rsidR="00183E22" w:rsidRPr="00720DC2" w:rsidRDefault="00AA2545" w:rsidP="00183E22">
            <w:pPr>
              <w:jc w:val="center"/>
              <w:rPr>
                <w:sz w:val="24"/>
                <w:szCs w:val="24"/>
                <w:lang w:val="uk-UA"/>
              </w:rPr>
            </w:pPr>
            <w:r w:rsidRPr="00720DC2">
              <w:rPr>
                <w:sz w:val="24"/>
                <w:szCs w:val="24"/>
                <w:lang w:val="uk-UA"/>
              </w:rPr>
              <w:t>грудня</w:t>
            </w:r>
            <w:r w:rsidR="006253FF" w:rsidRPr="00720DC2">
              <w:rPr>
                <w:sz w:val="24"/>
                <w:szCs w:val="24"/>
                <w:lang w:val="uk-UA"/>
              </w:rPr>
              <w:t xml:space="preserve"> </w:t>
            </w:r>
            <w:r w:rsidR="00183E22" w:rsidRPr="00720DC2">
              <w:rPr>
                <w:sz w:val="24"/>
                <w:szCs w:val="24"/>
                <w:lang w:val="uk-UA"/>
              </w:rPr>
              <w:t>2017р.</w:t>
            </w:r>
          </w:p>
        </w:tc>
      </w:tr>
      <w:tr w:rsidR="00183E22" w:rsidRPr="00720DC2" w:rsidTr="00014FEC">
        <w:trPr>
          <w:cantSplit/>
          <w:trHeight w:val="269"/>
        </w:trPr>
        <w:tc>
          <w:tcPr>
            <w:tcW w:w="5103" w:type="dxa"/>
            <w:vAlign w:val="bottom"/>
          </w:tcPr>
          <w:p w:rsidR="00183E22" w:rsidRPr="00720DC2" w:rsidRDefault="00183E22" w:rsidP="00183E22">
            <w:pPr>
              <w:rPr>
                <w:sz w:val="24"/>
                <w:szCs w:val="24"/>
                <w:lang w:val="uk-UA"/>
              </w:rPr>
            </w:pPr>
            <w:r w:rsidRPr="00720DC2">
              <w:rPr>
                <w:sz w:val="24"/>
                <w:szCs w:val="24"/>
                <w:lang w:val="uk-UA"/>
              </w:rPr>
              <w:t>Безробітні, всього</w:t>
            </w:r>
          </w:p>
        </w:tc>
        <w:tc>
          <w:tcPr>
            <w:tcW w:w="1276" w:type="dxa"/>
            <w:vAlign w:val="bottom"/>
          </w:tcPr>
          <w:p w:rsidR="00183E22" w:rsidRPr="00720DC2" w:rsidRDefault="00183E22" w:rsidP="00AA2545">
            <w:pPr>
              <w:jc w:val="center"/>
              <w:rPr>
                <w:sz w:val="24"/>
                <w:szCs w:val="24"/>
                <w:lang w:val="uk-UA" w:eastAsia="uk-UA"/>
              </w:rPr>
            </w:pPr>
            <w:r w:rsidRPr="00720DC2">
              <w:rPr>
                <w:sz w:val="24"/>
                <w:szCs w:val="24"/>
                <w:lang w:val="uk-UA" w:eastAsia="uk-UA"/>
              </w:rPr>
              <w:t>1</w:t>
            </w:r>
            <w:r w:rsidR="00AA2545" w:rsidRPr="00720DC2">
              <w:rPr>
                <w:sz w:val="24"/>
                <w:szCs w:val="24"/>
                <w:lang w:val="uk-UA" w:eastAsia="uk-UA"/>
              </w:rPr>
              <w:t>391</w:t>
            </w:r>
          </w:p>
        </w:tc>
        <w:tc>
          <w:tcPr>
            <w:tcW w:w="1418" w:type="dxa"/>
            <w:vAlign w:val="bottom"/>
          </w:tcPr>
          <w:p w:rsidR="00183E22" w:rsidRPr="00720DC2" w:rsidRDefault="006253FF" w:rsidP="00AA2545">
            <w:pPr>
              <w:jc w:val="center"/>
              <w:rPr>
                <w:color w:val="000000"/>
                <w:sz w:val="24"/>
                <w:szCs w:val="24"/>
                <w:lang w:val="uk-UA" w:eastAsia="uk-UA"/>
              </w:rPr>
            </w:pPr>
            <w:r w:rsidRPr="00720DC2">
              <w:rPr>
                <w:color w:val="000000"/>
                <w:sz w:val="24"/>
                <w:szCs w:val="24"/>
                <w:lang w:val="uk-UA"/>
              </w:rPr>
              <w:t>9</w:t>
            </w:r>
            <w:r w:rsidR="00AA2545" w:rsidRPr="00720DC2">
              <w:rPr>
                <w:color w:val="000000"/>
                <w:sz w:val="24"/>
                <w:szCs w:val="24"/>
                <w:lang w:val="uk-UA"/>
              </w:rPr>
              <w:t>5</w:t>
            </w:r>
            <w:r w:rsidRPr="00720DC2">
              <w:rPr>
                <w:color w:val="000000"/>
                <w:sz w:val="24"/>
                <w:szCs w:val="24"/>
                <w:lang w:val="uk-UA"/>
              </w:rPr>
              <w:t>,</w:t>
            </w:r>
            <w:r w:rsidR="00AA2545" w:rsidRPr="00720DC2">
              <w:rPr>
                <w:color w:val="000000"/>
                <w:sz w:val="24"/>
                <w:szCs w:val="24"/>
                <w:lang w:val="uk-UA"/>
              </w:rPr>
              <w:t>5</w:t>
            </w:r>
          </w:p>
        </w:tc>
        <w:tc>
          <w:tcPr>
            <w:tcW w:w="1275" w:type="dxa"/>
            <w:vAlign w:val="bottom"/>
          </w:tcPr>
          <w:p w:rsidR="00183E22" w:rsidRPr="00720DC2" w:rsidRDefault="00AA2545" w:rsidP="006253FF">
            <w:pPr>
              <w:jc w:val="center"/>
              <w:rPr>
                <w:color w:val="000000"/>
                <w:sz w:val="24"/>
                <w:szCs w:val="24"/>
                <w:lang w:val="uk-UA"/>
              </w:rPr>
            </w:pPr>
            <w:r w:rsidRPr="00720DC2">
              <w:rPr>
                <w:color w:val="000000"/>
                <w:sz w:val="24"/>
                <w:szCs w:val="24"/>
                <w:lang w:val="uk-UA"/>
              </w:rPr>
              <w:t>93,2</w:t>
            </w:r>
          </w:p>
        </w:tc>
      </w:tr>
      <w:tr w:rsidR="00183E22" w:rsidRPr="00720DC2" w:rsidTr="00014FEC">
        <w:trPr>
          <w:cantSplit/>
        </w:trPr>
        <w:tc>
          <w:tcPr>
            <w:tcW w:w="5103" w:type="dxa"/>
            <w:vAlign w:val="bottom"/>
          </w:tcPr>
          <w:p w:rsidR="00183E22" w:rsidRPr="00720DC2" w:rsidRDefault="00183E22" w:rsidP="00183E22">
            <w:pPr>
              <w:ind w:left="34"/>
              <w:rPr>
                <w:sz w:val="24"/>
                <w:szCs w:val="24"/>
                <w:lang w:val="uk-UA"/>
              </w:rPr>
            </w:pPr>
            <w:r w:rsidRPr="00720DC2">
              <w:rPr>
                <w:sz w:val="24"/>
                <w:szCs w:val="24"/>
                <w:lang w:val="uk-UA"/>
              </w:rPr>
              <w:t>з  них</w:t>
            </w:r>
          </w:p>
        </w:tc>
        <w:tc>
          <w:tcPr>
            <w:tcW w:w="1276" w:type="dxa"/>
            <w:vAlign w:val="bottom"/>
          </w:tcPr>
          <w:p w:rsidR="00183E22" w:rsidRPr="00720DC2" w:rsidRDefault="00183E22" w:rsidP="00183E22">
            <w:pPr>
              <w:jc w:val="center"/>
              <w:rPr>
                <w:sz w:val="24"/>
                <w:szCs w:val="24"/>
                <w:lang w:val="uk-UA"/>
              </w:rPr>
            </w:pPr>
          </w:p>
        </w:tc>
        <w:tc>
          <w:tcPr>
            <w:tcW w:w="1418" w:type="dxa"/>
            <w:vAlign w:val="bottom"/>
          </w:tcPr>
          <w:p w:rsidR="00183E22" w:rsidRPr="00720DC2" w:rsidRDefault="00183E22" w:rsidP="00183E22">
            <w:pPr>
              <w:jc w:val="center"/>
              <w:rPr>
                <w:color w:val="000000"/>
                <w:sz w:val="24"/>
                <w:szCs w:val="24"/>
                <w:lang w:val="uk-UA"/>
              </w:rPr>
            </w:pPr>
          </w:p>
        </w:tc>
        <w:tc>
          <w:tcPr>
            <w:tcW w:w="1275" w:type="dxa"/>
            <w:vAlign w:val="bottom"/>
          </w:tcPr>
          <w:p w:rsidR="00183E22" w:rsidRPr="00720DC2" w:rsidRDefault="00183E22" w:rsidP="00183E22">
            <w:pPr>
              <w:jc w:val="center"/>
              <w:rPr>
                <w:sz w:val="24"/>
                <w:szCs w:val="24"/>
                <w:lang w:val="uk-UA"/>
              </w:rPr>
            </w:pPr>
          </w:p>
        </w:tc>
      </w:tr>
      <w:tr w:rsidR="00183E22" w:rsidRPr="00720DC2" w:rsidTr="00014FEC">
        <w:trPr>
          <w:cantSplit/>
          <w:trHeight w:val="231"/>
        </w:trPr>
        <w:tc>
          <w:tcPr>
            <w:tcW w:w="5103" w:type="dxa"/>
            <w:vAlign w:val="bottom"/>
          </w:tcPr>
          <w:p w:rsidR="00183E22" w:rsidRPr="00720DC2" w:rsidRDefault="00183E22" w:rsidP="00183E22">
            <w:pPr>
              <w:ind w:left="34"/>
              <w:rPr>
                <w:sz w:val="24"/>
                <w:szCs w:val="24"/>
                <w:lang w:val="uk-UA"/>
              </w:rPr>
            </w:pPr>
            <w:r w:rsidRPr="00720DC2">
              <w:rPr>
                <w:sz w:val="24"/>
                <w:szCs w:val="24"/>
                <w:lang w:val="uk-UA"/>
              </w:rPr>
              <w:t>жінки</w:t>
            </w:r>
          </w:p>
        </w:tc>
        <w:tc>
          <w:tcPr>
            <w:tcW w:w="1276" w:type="dxa"/>
            <w:vAlign w:val="bottom"/>
          </w:tcPr>
          <w:p w:rsidR="00183E22" w:rsidRPr="00720DC2" w:rsidRDefault="00AA2545" w:rsidP="006253FF">
            <w:pPr>
              <w:jc w:val="center"/>
              <w:rPr>
                <w:sz w:val="24"/>
                <w:szCs w:val="24"/>
                <w:lang w:val="uk-UA"/>
              </w:rPr>
            </w:pPr>
            <w:r w:rsidRPr="00720DC2">
              <w:rPr>
                <w:sz w:val="24"/>
                <w:szCs w:val="24"/>
                <w:lang w:val="uk-UA"/>
              </w:rPr>
              <w:t>894</w:t>
            </w:r>
          </w:p>
        </w:tc>
        <w:tc>
          <w:tcPr>
            <w:tcW w:w="1418" w:type="dxa"/>
            <w:vAlign w:val="bottom"/>
          </w:tcPr>
          <w:p w:rsidR="00183E22" w:rsidRPr="00720DC2" w:rsidRDefault="00AA2545" w:rsidP="00183E22">
            <w:pPr>
              <w:jc w:val="center"/>
              <w:rPr>
                <w:color w:val="000000"/>
                <w:sz w:val="24"/>
                <w:szCs w:val="24"/>
                <w:lang w:val="uk-UA"/>
              </w:rPr>
            </w:pPr>
            <w:r w:rsidRPr="00720DC2">
              <w:rPr>
                <w:color w:val="000000"/>
                <w:sz w:val="24"/>
                <w:szCs w:val="24"/>
                <w:lang w:val="uk-UA"/>
              </w:rPr>
              <w:t>95,0</w:t>
            </w:r>
          </w:p>
        </w:tc>
        <w:tc>
          <w:tcPr>
            <w:tcW w:w="1275" w:type="dxa"/>
            <w:vAlign w:val="bottom"/>
          </w:tcPr>
          <w:p w:rsidR="00183E22" w:rsidRPr="00720DC2" w:rsidRDefault="00AA2545" w:rsidP="00183E22">
            <w:pPr>
              <w:jc w:val="center"/>
              <w:rPr>
                <w:color w:val="000000"/>
                <w:sz w:val="24"/>
                <w:szCs w:val="24"/>
                <w:lang w:val="uk-UA"/>
              </w:rPr>
            </w:pPr>
            <w:r w:rsidRPr="00720DC2">
              <w:rPr>
                <w:color w:val="000000"/>
                <w:sz w:val="24"/>
                <w:szCs w:val="24"/>
                <w:lang w:val="uk-UA"/>
              </w:rPr>
              <w:t>91,4</w:t>
            </w:r>
          </w:p>
        </w:tc>
      </w:tr>
      <w:tr w:rsidR="00183E22" w:rsidRPr="00720DC2" w:rsidTr="00014FEC">
        <w:trPr>
          <w:cantSplit/>
        </w:trPr>
        <w:tc>
          <w:tcPr>
            <w:tcW w:w="5103" w:type="dxa"/>
            <w:vAlign w:val="bottom"/>
          </w:tcPr>
          <w:p w:rsidR="00183E22" w:rsidRPr="00720DC2" w:rsidRDefault="00183E22" w:rsidP="00183E22">
            <w:pPr>
              <w:ind w:left="34"/>
              <w:rPr>
                <w:sz w:val="24"/>
                <w:szCs w:val="24"/>
                <w:lang w:val="uk-UA"/>
              </w:rPr>
            </w:pPr>
            <w:r w:rsidRPr="00720DC2">
              <w:rPr>
                <w:sz w:val="24"/>
                <w:szCs w:val="24"/>
                <w:lang w:val="uk-UA"/>
              </w:rPr>
              <w:t>молодь у віці до 35 років</w:t>
            </w:r>
          </w:p>
        </w:tc>
        <w:tc>
          <w:tcPr>
            <w:tcW w:w="1276" w:type="dxa"/>
            <w:vAlign w:val="bottom"/>
          </w:tcPr>
          <w:p w:rsidR="00183E22" w:rsidRPr="00720DC2" w:rsidRDefault="00AA2545" w:rsidP="00183E22">
            <w:pPr>
              <w:jc w:val="center"/>
              <w:rPr>
                <w:sz w:val="24"/>
                <w:szCs w:val="24"/>
                <w:lang w:val="uk-UA"/>
              </w:rPr>
            </w:pPr>
            <w:r w:rsidRPr="00720DC2">
              <w:rPr>
                <w:sz w:val="24"/>
                <w:szCs w:val="24"/>
                <w:lang w:val="uk-UA"/>
              </w:rPr>
              <w:t>574</w:t>
            </w:r>
          </w:p>
        </w:tc>
        <w:tc>
          <w:tcPr>
            <w:tcW w:w="1418" w:type="dxa"/>
            <w:vAlign w:val="bottom"/>
          </w:tcPr>
          <w:p w:rsidR="00183E22" w:rsidRPr="00720DC2" w:rsidRDefault="00AA2545" w:rsidP="00183E22">
            <w:pPr>
              <w:jc w:val="center"/>
              <w:rPr>
                <w:color w:val="000000"/>
                <w:sz w:val="24"/>
                <w:szCs w:val="24"/>
                <w:lang w:val="uk-UA"/>
              </w:rPr>
            </w:pPr>
            <w:r w:rsidRPr="00720DC2">
              <w:rPr>
                <w:color w:val="000000"/>
                <w:sz w:val="24"/>
                <w:szCs w:val="24"/>
                <w:lang w:val="uk-UA"/>
              </w:rPr>
              <w:t>92,6</w:t>
            </w:r>
          </w:p>
        </w:tc>
        <w:tc>
          <w:tcPr>
            <w:tcW w:w="1275" w:type="dxa"/>
            <w:vAlign w:val="bottom"/>
          </w:tcPr>
          <w:p w:rsidR="00183E22" w:rsidRPr="00720DC2" w:rsidRDefault="00AA2545" w:rsidP="00183E22">
            <w:pPr>
              <w:jc w:val="center"/>
              <w:rPr>
                <w:color w:val="000000"/>
                <w:sz w:val="24"/>
                <w:szCs w:val="24"/>
                <w:lang w:val="uk-UA"/>
              </w:rPr>
            </w:pPr>
            <w:r w:rsidRPr="00720DC2">
              <w:rPr>
                <w:color w:val="000000"/>
                <w:sz w:val="24"/>
                <w:szCs w:val="24"/>
                <w:lang w:val="uk-UA"/>
              </w:rPr>
              <w:t>82,8</w:t>
            </w:r>
          </w:p>
        </w:tc>
      </w:tr>
      <w:tr w:rsidR="00183E22" w:rsidRPr="00720DC2" w:rsidTr="00014FEC">
        <w:trPr>
          <w:cantSplit/>
        </w:trPr>
        <w:tc>
          <w:tcPr>
            <w:tcW w:w="5103" w:type="dxa"/>
            <w:vAlign w:val="bottom"/>
          </w:tcPr>
          <w:p w:rsidR="00183E22" w:rsidRPr="00720DC2" w:rsidRDefault="00183E22" w:rsidP="00014FEC">
            <w:pPr>
              <w:ind w:left="34"/>
              <w:rPr>
                <w:sz w:val="24"/>
                <w:szCs w:val="24"/>
                <w:lang w:val="uk-UA"/>
              </w:rPr>
            </w:pPr>
            <w:r w:rsidRPr="00720DC2">
              <w:rPr>
                <w:sz w:val="24"/>
                <w:szCs w:val="24"/>
                <w:lang w:val="uk-UA"/>
              </w:rPr>
              <w:t xml:space="preserve">особи, які проживають у сільській  місцевості </w:t>
            </w:r>
          </w:p>
        </w:tc>
        <w:tc>
          <w:tcPr>
            <w:tcW w:w="1276" w:type="dxa"/>
            <w:vAlign w:val="bottom"/>
          </w:tcPr>
          <w:p w:rsidR="00183E22" w:rsidRPr="00720DC2" w:rsidRDefault="00AA2545" w:rsidP="00183E22">
            <w:pPr>
              <w:jc w:val="center"/>
              <w:rPr>
                <w:sz w:val="24"/>
                <w:szCs w:val="24"/>
                <w:lang w:val="uk-UA"/>
              </w:rPr>
            </w:pPr>
            <w:r w:rsidRPr="00720DC2">
              <w:rPr>
                <w:sz w:val="24"/>
                <w:szCs w:val="24"/>
                <w:lang w:val="uk-UA"/>
              </w:rPr>
              <w:t>275</w:t>
            </w:r>
          </w:p>
        </w:tc>
        <w:tc>
          <w:tcPr>
            <w:tcW w:w="1418" w:type="dxa"/>
            <w:vAlign w:val="bottom"/>
          </w:tcPr>
          <w:p w:rsidR="00183E22" w:rsidRPr="00720DC2" w:rsidRDefault="00AA2545" w:rsidP="00183E22">
            <w:pPr>
              <w:jc w:val="center"/>
              <w:rPr>
                <w:color w:val="000000"/>
                <w:sz w:val="24"/>
                <w:szCs w:val="24"/>
                <w:lang w:val="uk-UA"/>
              </w:rPr>
            </w:pPr>
            <w:r w:rsidRPr="00720DC2">
              <w:rPr>
                <w:color w:val="000000"/>
                <w:sz w:val="24"/>
                <w:szCs w:val="24"/>
                <w:lang w:val="uk-UA"/>
              </w:rPr>
              <w:t>95,2</w:t>
            </w:r>
          </w:p>
        </w:tc>
        <w:tc>
          <w:tcPr>
            <w:tcW w:w="1275" w:type="dxa"/>
            <w:vAlign w:val="bottom"/>
          </w:tcPr>
          <w:p w:rsidR="00183E22" w:rsidRPr="00720DC2" w:rsidRDefault="00AA2545" w:rsidP="00183E22">
            <w:pPr>
              <w:jc w:val="center"/>
              <w:rPr>
                <w:color w:val="000000"/>
                <w:sz w:val="24"/>
                <w:szCs w:val="24"/>
                <w:lang w:val="uk-UA"/>
              </w:rPr>
            </w:pPr>
            <w:r w:rsidRPr="00720DC2">
              <w:rPr>
                <w:color w:val="000000"/>
                <w:sz w:val="24"/>
                <w:szCs w:val="24"/>
                <w:lang w:val="uk-UA"/>
              </w:rPr>
              <w:t>94,2</w:t>
            </w:r>
          </w:p>
        </w:tc>
      </w:tr>
      <w:tr w:rsidR="00183E22" w:rsidRPr="00720DC2" w:rsidTr="00014FEC">
        <w:trPr>
          <w:cantSplit/>
          <w:trHeight w:val="449"/>
        </w:trPr>
        <w:tc>
          <w:tcPr>
            <w:tcW w:w="5103" w:type="dxa"/>
            <w:vAlign w:val="bottom"/>
          </w:tcPr>
          <w:p w:rsidR="00183E22" w:rsidRPr="00720DC2" w:rsidRDefault="00183E22" w:rsidP="00183E22">
            <w:pPr>
              <w:ind w:left="34" w:hanging="34"/>
              <w:rPr>
                <w:sz w:val="24"/>
                <w:szCs w:val="24"/>
                <w:lang w:val="uk-UA"/>
              </w:rPr>
            </w:pPr>
            <w:r w:rsidRPr="00720DC2">
              <w:rPr>
                <w:sz w:val="24"/>
                <w:szCs w:val="24"/>
                <w:lang w:val="uk-UA"/>
              </w:rPr>
              <w:t>особи, які мають додаткові гарантії у сприянні працевлаштуванню</w:t>
            </w:r>
          </w:p>
        </w:tc>
        <w:tc>
          <w:tcPr>
            <w:tcW w:w="1276" w:type="dxa"/>
            <w:vAlign w:val="bottom"/>
          </w:tcPr>
          <w:p w:rsidR="00183E22" w:rsidRPr="00720DC2" w:rsidRDefault="00AA2545" w:rsidP="00183E22">
            <w:pPr>
              <w:jc w:val="center"/>
              <w:rPr>
                <w:sz w:val="24"/>
                <w:szCs w:val="24"/>
                <w:lang w:val="uk-UA"/>
              </w:rPr>
            </w:pPr>
            <w:r w:rsidRPr="00720DC2">
              <w:rPr>
                <w:sz w:val="24"/>
                <w:szCs w:val="24"/>
                <w:lang w:val="uk-UA"/>
              </w:rPr>
              <w:t>551</w:t>
            </w:r>
          </w:p>
        </w:tc>
        <w:tc>
          <w:tcPr>
            <w:tcW w:w="1418" w:type="dxa"/>
            <w:vAlign w:val="bottom"/>
          </w:tcPr>
          <w:p w:rsidR="00183E22" w:rsidRPr="00720DC2" w:rsidRDefault="00AA2545" w:rsidP="00183E22">
            <w:pPr>
              <w:jc w:val="center"/>
              <w:rPr>
                <w:color w:val="000000"/>
                <w:sz w:val="24"/>
                <w:szCs w:val="24"/>
                <w:lang w:val="uk-UA"/>
              </w:rPr>
            </w:pPr>
            <w:r w:rsidRPr="00720DC2">
              <w:rPr>
                <w:color w:val="000000"/>
                <w:sz w:val="24"/>
                <w:szCs w:val="24"/>
                <w:lang w:val="uk-UA"/>
              </w:rPr>
              <w:t>94,7</w:t>
            </w:r>
          </w:p>
        </w:tc>
        <w:tc>
          <w:tcPr>
            <w:tcW w:w="1275" w:type="dxa"/>
            <w:vAlign w:val="bottom"/>
          </w:tcPr>
          <w:p w:rsidR="00183E22" w:rsidRPr="00720DC2" w:rsidRDefault="00AA2545" w:rsidP="00183E22">
            <w:pPr>
              <w:jc w:val="center"/>
              <w:rPr>
                <w:color w:val="000000"/>
                <w:sz w:val="24"/>
                <w:szCs w:val="24"/>
                <w:lang w:val="uk-UA"/>
              </w:rPr>
            </w:pPr>
            <w:r w:rsidRPr="00720DC2">
              <w:rPr>
                <w:color w:val="000000"/>
                <w:sz w:val="24"/>
                <w:szCs w:val="24"/>
                <w:lang w:val="uk-UA"/>
              </w:rPr>
              <w:t>95,0</w:t>
            </w:r>
          </w:p>
        </w:tc>
      </w:tr>
    </w:tbl>
    <w:p w:rsidR="00183E22" w:rsidRPr="00720DC2" w:rsidRDefault="00183E22" w:rsidP="00183E22">
      <w:pPr>
        <w:pStyle w:val="af1"/>
        <w:ind w:left="0" w:firstLine="708"/>
        <w:jc w:val="both"/>
        <w:rPr>
          <w:sz w:val="28"/>
          <w:szCs w:val="28"/>
          <w:lang w:val="uk-UA"/>
        </w:rPr>
      </w:pPr>
      <w:r w:rsidRPr="00720DC2">
        <w:rPr>
          <w:sz w:val="28"/>
          <w:szCs w:val="28"/>
          <w:lang w:val="uk-UA"/>
        </w:rPr>
        <w:t xml:space="preserve">Середньооблікова кількість безробітних, які отримували допомогу по безробіттю впродовж </w:t>
      </w:r>
      <w:r w:rsidR="00AA2545" w:rsidRPr="00720DC2">
        <w:rPr>
          <w:sz w:val="28"/>
          <w:szCs w:val="28"/>
          <w:lang w:val="uk-UA"/>
        </w:rPr>
        <w:t>грудня</w:t>
      </w:r>
      <w:r w:rsidR="00566E1B">
        <w:rPr>
          <w:sz w:val="28"/>
          <w:szCs w:val="28"/>
          <w:lang w:val="uk-UA"/>
        </w:rPr>
        <w:t xml:space="preserve"> </w:t>
      </w:r>
      <w:r w:rsidRPr="00720DC2">
        <w:rPr>
          <w:sz w:val="28"/>
          <w:szCs w:val="28"/>
          <w:lang w:val="uk-UA"/>
        </w:rPr>
        <w:t>2018р., становила 1</w:t>
      </w:r>
      <w:r w:rsidR="00AA2545" w:rsidRPr="00720DC2">
        <w:rPr>
          <w:sz w:val="28"/>
          <w:szCs w:val="28"/>
          <w:lang w:val="uk-UA"/>
        </w:rPr>
        <w:t>135</w:t>
      </w:r>
      <w:r w:rsidRPr="00720DC2">
        <w:rPr>
          <w:sz w:val="28"/>
          <w:szCs w:val="28"/>
          <w:lang w:val="uk-UA"/>
        </w:rPr>
        <w:t xml:space="preserve"> осіб. Середній розмір допомоги по безробіттю становив </w:t>
      </w:r>
      <w:r w:rsidR="00AA2545" w:rsidRPr="00720DC2">
        <w:rPr>
          <w:sz w:val="28"/>
          <w:szCs w:val="28"/>
          <w:lang w:val="uk-UA"/>
        </w:rPr>
        <w:t>3038,8</w:t>
      </w:r>
      <w:r w:rsidRPr="00720DC2">
        <w:rPr>
          <w:sz w:val="28"/>
          <w:szCs w:val="28"/>
          <w:lang w:val="uk-UA"/>
        </w:rPr>
        <w:t xml:space="preserve"> грн, що складає </w:t>
      </w:r>
      <w:r w:rsidR="006253FF" w:rsidRPr="00720DC2">
        <w:rPr>
          <w:sz w:val="28"/>
          <w:szCs w:val="28"/>
          <w:lang w:val="uk-UA"/>
        </w:rPr>
        <w:t>8</w:t>
      </w:r>
      <w:r w:rsidR="00AA2545" w:rsidRPr="00720DC2">
        <w:rPr>
          <w:sz w:val="28"/>
          <w:szCs w:val="28"/>
          <w:lang w:val="uk-UA"/>
        </w:rPr>
        <w:t>1</w:t>
      </w:r>
      <w:r w:rsidR="006253FF" w:rsidRPr="00720DC2">
        <w:rPr>
          <w:sz w:val="28"/>
          <w:szCs w:val="28"/>
          <w:lang w:val="uk-UA"/>
        </w:rPr>
        <w:t>,6</w:t>
      </w:r>
      <w:r w:rsidRPr="00720DC2">
        <w:rPr>
          <w:sz w:val="28"/>
          <w:szCs w:val="28"/>
          <w:lang w:val="uk-UA"/>
        </w:rPr>
        <w:t xml:space="preserve">%  законодавчо  визначеного  розміру  мінімальної  заробітної  плати. </w:t>
      </w:r>
    </w:p>
    <w:p w:rsidR="00183E22" w:rsidRPr="00720DC2" w:rsidRDefault="00183E22" w:rsidP="00183E22">
      <w:pPr>
        <w:widowControl w:val="0"/>
        <w:spacing w:line="228" w:lineRule="auto"/>
        <w:ind w:firstLine="709"/>
        <w:jc w:val="both"/>
        <w:rPr>
          <w:lang w:val="uk-UA"/>
        </w:rPr>
      </w:pPr>
      <w:r w:rsidRPr="00720DC2">
        <w:rPr>
          <w:lang w:val="uk-UA"/>
        </w:rPr>
        <w:t xml:space="preserve">За професійними групами найбільший попит на робочу силу спостерігався на </w:t>
      </w:r>
      <w:r w:rsidR="00AA2545" w:rsidRPr="00720DC2">
        <w:rPr>
          <w:lang w:val="uk-UA"/>
        </w:rPr>
        <w:t xml:space="preserve">працівників сфери торгівлі та послуг (22,6% від загальної кількості заявлених вакансій), </w:t>
      </w:r>
      <w:r w:rsidRPr="00720DC2">
        <w:rPr>
          <w:lang w:val="uk-UA"/>
        </w:rPr>
        <w:t>кваліфікованих робітників з інструментом (</w:t>
      </w:r>
      <w:r w:rsidR="00AA2545" w:rsidRPr="00720DC2">
        <w:rPr>
          <w:lang w:val="uk-UA"/>
        </w:rPr>
        <w:t>20,9</w:t>
      </w:r>
      <w:r w:rsidRPr="00720DC2">
        <w:rPr>
          <w:lang w:val="uk-UA"/>
        </w:rPr>
        <w:t xml:space="preserve">%), </w:t>
      </w:r>
      <w:r w:rsidR="006253FF" w:rsidRPr="00720DC2">
        <w:rPr>
          <w:lang w:val="uk-UA"/>
        </w:rPr>
        <w:t>робітників з обслуговування, експлуатації та контролювання за роботою технологічного устаткування, складання устаткування та  машин (</w:t>
      </w:r>
      <w:r w:rsidR="00AA2545" w:rsidRPr="00720DC2">
        <w:rPr>
          <w:lang w:val="uk-UA"/>
        </w:rPr>
        <w:t>16,5</w:t>
      </w:r>
      <w:r w:rsidR="006253FF" w:rsidRPr="00720DC2">
        <w:rPr>
          <w:lang w:val="uk-UA"/>
        </w:rPr>
        <w:t xml:space="preserve">%), </w:t>
      </w:r>
      <w:r w:rsidRPr="00720DC2">
        <w:rPr>
          <w:lang w:val="uk-UA"/>
        </w:rPr>
        <w:t>працівників найпростіших професій (</w:t>
      </w:r>
      <w:r w:rsidR="006253FF" w:rsidRPr="00720DC2">
        <w:rPr>
          <w:lang w:val="uk-UA"/>
        </w:rPr>
        <w:t>1</w:t>
      </w:r>
      <w:r w:rsidR="00AA2545" w:rsidRPr="00720DC2">
        <w:rPr>
          <w:lang w:val="uk-UA"/>
        </w:rPr>
        <w:t>1,7</w:t>
      </w:r>
      <w:r w:rsidRPr="00720DC2">
        <w:rPr>
          <w:lang w:val="uk-UA"/>
        </w:rPr>
        <w:t xml:space="preserve">%). </w:t>
      </w:r>
    </w:p>
    <w:p w:rsidR="00183E22" w:rsidRPr="00720DC2" w:rsidRDefault="00183E22" w:rsidP="00183E22">
      <w:pPr>
        <w:pStyle w:val="af1"/>
        <w:ind w:left="0"/>
        <w:jc w:val="both"/>
        <w:rPr>
          <w:sz w:val="28"/>
          <w:lang w:val="uk-UA"/>
        </w:rPr>
      </w:pPr>
      <w:r w:rsidRPr="00720DC2">
        <w:rPr>
          <w:sz w:val="28"/>
          <w:lang w:val="uk-UA"/>
        </w:rPr>
        <w:tab/>
        <w:t>Навантаження зареєстрованих безроб</w:t>
      </w:r>
      <w:r w:rsidR="006253FF" w:rsidRPr="00720DC2">
        <w:rPr>
          <w:sz w:val="28"/>
          <w:lang w:val="uk-UA"/>
        </w:rPr>
        <w:t xml:space="preserve">ітних на одну вакансію на кінець </w:t>
      </w:r>
      <w:r w:rsidR="00AA2545" w:rsidRPr="00720DC2">
        <w:rPr>
          <w:sz w:val="28"/>
          <w:lang w:val="uk-UA"/>
        </w:rPr>
        <w:t>грудня</w:t>
      </w:r>
      <w:r w:rsidR="006253FF" w:rsidRPr="00720DC2">
        <w:rPr>
          <w:sz w:val="28"/>
          <w:lang w:val="uk-UA"/>
        </w:rPr>
        <w:t xml:space="preserve"> 2018 року становило </w:t>
      </w:r>
      <w:r w:rsidR="00AA2545" w:rsidRPr="00720DC2">
        <w:rPr>
          <w:sz w:val="28"/>
          <w:lang w:val="uk-UA"/>
        </w:rPr>
        <w:t>3</w:t>
      </w:r>
      <w:r w:rsidR="006253FF" w:rsidRPr="00720DC2">
        <w:rPr>
          <w:sz w:val="28"/>
          <w:lang w:val="uk-UA"/>
        </w:rPr>
        <w:t xml:space="preserve"> особу.</w:t>
      </w:r>
    </w:p>
    <w:p w:rsidR="00E65AE4" w:rsidRPr="00720DC2" w:rsidRDefault="00E65AE4" w:rsidP="00183E22">
      <w:pPr>
        <w:pStyle w:val="af1"/>
        <w:ind w:left="0"/>
        <w:jc w:val="both"/>
        <w:rPr>
          <w:sz w:val="28"/>
          <w:szCs w:val="28"/>
          <w:lang w:val="uk-UA"/>
        </w:rPr>
      </w:pPr>
    </w:p>
    <w:p w:rsidR="00183E22" w:rsidRPr="00720DC2" w:rsidRDefault="00183E22" w:rsidP="00183E22">
      <w:pPr>
        <w:pStyle w:val="a7"/>
        <w:tabs>
          <w:tab w:val="left" w:pos="709"/>
        </w:tabs>
        <w:spacing w:after="0"/>
        <w:ind w:left="851"/>
        <w:jc w:val="both"/>
        <w:outlineLvl w:val="0"/>
        <w:rPr>
          <w:i/>
          <w:sz w:val="28"/>
          <w:szCs w:val="28"/>
          <w:lang w:val="uk-UA"/>
        </w:rPr>
      </w:pPr>
      <w:r w:rsidRPr="00720DC2">
        <w:rPr>
          <w:i/>
          <w:sz w:val="28"/>
          <w:szCs w:val="28"/>
          <w:lang w:val="uk-UA"/>
        </w:rPr>
        <w:t>4.7 Оплата праці</w:t>
      </w:r>
    </w:p>
    <w:p w:rsidR="00E65AE4" w:rsidRPr="00720DC2" w:rsidRDefault="00E65AE4" w:rsidP="00E65AE4">
      <w:pPr>
        <w:ind w:firstLine="851"/>
        <w:jc w:val="both"/>
        <w:rPr>
          <w:lang w:val="uk-UA"/>
        </w:rPr>
      </w:pPr>
      <w:r w:rsidRPr="00720DC2">
        <w:rPr>
          <w:lang w:val="uk-UA"/>
        </w:rPr>
        <w:t>Станом на 01.</w:t>
      </w:r>
      <w:r w:rsidR="000B451F" w:rsidRPr="00720DC2">
        <w:rPr>
          <w:lang w:val="uk-UA"/>
        </w:rPr>
        <w:t>0</w:t>
      </w:r>
      <w:r w:rsidRPr="00720DC2">
        <w:rPr>
          <w:lang w:val="uk-UA"/>
        </w:rPr>
        <w:t>1.201</w:t>
      </w:r>
      <w:r w:rsidR="000B451F" w:rsidRPr="00720DC2">
        <w:rPr>
          <w:lang w:val="uk-UA"/>
        </w:rPr>
        <w:t>9</w:t>
      </w:r>
      <w:r w:rsidRPr="00720DC2">
        <w:rPr>
          <w:lang w:val="uk-UA"/>
        </w:rPr>
        <w:t xml:space="preserve">р. згідно із статистичною інформацією загальна сума заборгованості з виплати заробітної плати в м. Івано-Франківську становила </w:t>
      </w:r>
      <w:r w:rsidR="0040745B">
        <w:rPr>
          <w:lang w:val="uk-UA"/>
        </w:rPr>
        <w:t>16108,</w:t>
      </w:r>
      <w:r w:rsidR="000B451F" w:rsidRPr="00720DC2">
        <w:rPr>
          <w:lang w:val="uk-UA"/>
        </w:rPr>
        <w:t>1</w:t>
      </w:r>
      <w:r w:rsidRPr="00720DC2">
        <w:rPr>
          <w:lang w:val="uk-UA"/>
        </w:rPr>
        <w:t xml:space="preserve"> тис. грн. На економічно активних підприємствах заборгованість складала </w:t>
      </w:r>
      <w:r w:rsidR="0040745B">
        <w:rPr>
          <w:lang w:val="uk-UA"/>
        </w:rPr>
        <w:t>2682,</w:t>
      </w:r>
      <w:r w:rsidR="000B451F" w:rsidRPr="00720DC2">
        <w:rPr>
          <w:lang w:val="uk-UA"/>
        </w:rPr>
        <w:t>2</w:t>
      </w:r>
      <w:r w:rsidRPr="00720DC2">
        <w:rPr>
          <w:lang w:val="uk-UA"/>
        </w:rPr>
        <w:t xml:space="preserve"> тис. грн. (16,</w:t>
      </w:r>
      <w:r w:rsidR="000B451F" w:rsidRPr="00720DC2">
        <w:rPr>
          <w:lang w:val="uk-UA"/>
        </w:rPr>
        <w:t>7</w:t>
      </w:r>
      <w:r w:rsidRPr="00720DC2">
        <w:rPr>
          <w:lang w:val="uk-UA"/>
        </w:rPr>
        <w:t xml:space="preserve"> % від з</w:t>
      </w:r>
      <w:r w:rsidR="007B4CF9">
        <w:rPr>
          <w:lang w:val="uk-UA"/>
        </w:rPr>
        <w:t xml:space="preserve">агальної суми боргу), а саме: </w:t>
      </w:r>
      <w:r w:rsidRPr="00720DC2">
        <w:rPr>
          <w:lang w:val="uk-UA"/>
        </w:rPr>
        <w:t xml:space="preserve">АТ </w:t>
      </w:r>
      <w:r w:rsidR="00B5489B">
        <w:rPr>
          <w:lang w:val="uk-UA"/>
        </w:rPr>
        <w:t>"</w:t>
      </w:r>
      <w:r w:rsidRPr="00720DC2">
        <w:rPr>
          <w:lang w:val="uk-UA"/>
        </w:rPr>
        <w:t>Івано-Франківський локомотиворемонтний завод</w:t>
      </w:r>
      <w:r w:rsidR="00B5489B">
        <w:rPr>
          <w:lang w:val="uk-UA"/>
        </w:rPr>
        <w:t>"</w:t>
      </w:r>
      <w:r w:rsidRPr="00720DC2">
        <w:rPr>
          <w:lang w:val="uk-UA"/>
        </w:rPr>
        <w:t xml:space="preserve"> – </w:t>
      </w:r>
      <w:r w:rsidR="000B451F" w:rsidRPr="00720DC2">
        <w:rPr>
          <w:lang w:val="uk-UA"/>
        </w:rPr>
        <w:t>486</w:t>
      </w:r>
      <w:r w:rsidR="0040745B">
        <w:rPr>
          <w:lang w:val="uk-UA"/>
        </w:rPr>
        <w:t>,</w:t>
      </w:r>
      <w:r w:rsidR="000B451F" w:rsidRPr="00720DC2">
        <w:rPr>
          <w:lang w:val="uk-UA"/>
        </w:rPr>
        <w:t>3</w:t>
      </w:r>
      <w:r w:rsidR="0040745B">
        <w:rPr>
          <w:lang w:val="uk-UA"/>
        </w:rPr>
        <w:t xml:space="preserve"> тис. грн</w:t>
      </w:r>
      <w:r w:rsidRPr="00720DC2">
        <w:rPr>
          <w:lang w:val="uk-UA"/>
        </w:rPr>
        <w:t xml:space="preserve"> та ДП </w:t>
      </w:r>
      <w:r w:rsidR="00B5489B">
        <w:rPr>
          <w:lang w:val="uk-UA"/>
        </w:rPr>
        <w:t>"</w:t>
      </w:r>
      <w:r w:rsidRPr="00720DC2">
        <w:rPr>
          <w:lang w:val="uk-UA"/>
        </w:rPr>
        <w:t>Івано-Франківський завод хлібопродуктів</w:t>
      </w:r>
      <w:r w:rsidR="00B5489B">
        <w:rPr>
          <w:lang w:val="uk-UA"/>
        </w:rPr>
        <w:t>"</w:t>
      </w:r>
      <w:r w:rsidRPr="00720DC2">
        <w:rPr>
          <w:lang w:val="uk-UA"/>
        </w:rPr>
        <w:t xml:space="preserve"> – </w:t>
      </w:r>
      <w:r w:rsidR="000B451F" w:rsidRPr="00720DC2">
        <w:rPr>
          <w:lang w:val="uk-UA"/>
        </w:rPr>
        <w:t>2195.9</w:t>
      </w:r>
      <w:r w:rsidRPr="00720DC2">
        <w:rPr>
          <w:lang w:val="uk-UA"/>
        </w:rPr>
        <w:t xml:space="preserve"> тис. грн. На підприємствах-банкрутах заборгованість складала </w:t>
      </w:r>
      <w:r w:rsidR="000B451F" w:rsidRPr="00720DC2">
        <w:rPr>
          <w:lang w:val="uk-UA"/>
        </w:rPr>
        <w:t>13425,9</w:t>
      </w:r>
      <w:r w:rsidR="0040745B">
        <w:rPr>
          <w:lang w:val="uk-UA"/>
        </w:rPr>
        <w:t xml:space="preserve"> тис. грн</w:t>
      </w:r>
      <w:r w:rsidRPr="00720DC2">
        <w:rPr>
          <w:lang w:val="uk-UA"/>
        </w:rPr>
        <w:t xml:space="preserve"> (83,</w:t>
      </w:r>
      <w:r w:rsidR="000B451F" w:rsidRPr="00720DC2">
        <w:rPr>
          <w:lang w:val="uk-UA"/>
        </w:rPr>
        <w:t>3</w:t>
      </w:r>
      <w:r w:rsidRPr="00720DC2">
        <w:rPr>
          <w:lang w:val="uk-UA"/>
        </w:rPr>
        <w:t xml:space="preserve"> %). </w:t>
      </w:r>
    </w:p>
    <w:p w:rsidR="00E65AE4" w:rsidRPr="00720DC2" w:rsidRDefault="00E65AE4" w:rsidP="00E65AE4">
      <w:pPr>
        <w:ind w:firstLine="851"/>
        <w:jc w:val="both"/>
        <w:rPr>
          <w:lang w:val="uk-UA"/>
        </w:rPr>
      </w:pPr>
      <w:r w:rsidRPr="00720DC2">
        <w:rPr>
          <w:lang w:val="uk-UA"/>
        </w:rPr>
        <w:t xml:space="preserve">Питання щодо погашення заборгованості з виплати заробітної плати та надходжень до державного та міського бюджетів розглядаються на засіданнях міської комісії з питань забезпечення своєчасності і повноти сплати податків та погашення заборгованості із заробітної плати (грошового забезпечення), пенсій, стипендій та інших соціальних виплат. У 2018 році відбулося 8 таких засідань, на яких заслухано 25 </w:t>
      </w:r>
      <w:r w:rsidRPr="00720DC2">
        <w:rPr>
          <w:color w:val="000000"/>
          <w:lang w:val="uk-UA"/>
        </w:rPr>
        <w:t>керівників підприємств-боржників як з виплати заробітної плати, так і з виплати обов’язкових платежів до бюджетів усіх рівнів.</w:t>
      </w:r>
      <w:r w:rsidRPr="00720DC2">
        <w:rPr>
          <w:color w:val="FF6600"/>
          <w:lang w:val="uk-UA"/>
        </w:rPr>
        <w:t xml:space="preserve"> </w:t>
      </w:r>
      <w:r w:rsidRPr="00720DC2">
        <w:rPr>
          <w:lang w:val="uk-UA"/>
        </w:rPr>
        <w:t xml:space="preserve">Проведена інформаційна робота та співбесіди з 103 керівниками підприємств-боржників. </w:t>
      </w:r>
    </w:p>
    <w:p w:rsidR="00E65AE4" w:rsidRPr="00720DC2" w:rsidRDefault="00E65AE4" w:rsidP="00E65AE4">
      <w:pPr>
        <w:ind w:firstLine="851"/>
        <w:jc w:val="both"/>
        <w:rPr>
          <w:szCs w:val="24"/>
          <w:lang w:val="uk-UA"/>
        </w:rPr>
      </w:pPr>
      <w:r w:rsidRPr="00720DC2">
        <w:rPr>
          <w:szCs w:val="24"/>
          <w:lang w:val="uk-UA"/>
        </w:rPr>
        <w:lastRenderedPageBreak/>
        <w:t>Впродовж 2018 року заборгованість з виплати заробітної плати зменшилась на 2782,1 тис</w:t>
      </w:r>
      <w:r w:rsidR="0040745B">
        <w:rPr>
          <w:szCs w:val="24"/>
          <w:lang w:val="uk-UA"/>
        </w:rPr>
        <w:t>.</w:t>
      </w:r>
      <w:r w:rsidRPr="00720DC2">
        <w:rPr>
          <w:szCs w:val="24"/>
          <w:lang w:val="uk-UA"/>
        </w:rPr>
        <w:t xml:space="preserve"> грн. Повністю погашена заборгованість з виплати заробітної плати на трьох підприємствах: ПРАТ </w:t>
      </w:r>
      <w:r w:rsidR="00B5489B">
        <w:rPr>
          <w:szCs w:val="24"/>
          <w:lang w:val="uk-UA"/>
        </w:rPr>
        <w:t>"</w:t>
      </w:r>
      <w:r w:rsidRPr="00720DC2">
        <w:rPr>
          <w:szCs w:val="24"/>
          <w:lang w:val="uk-UA"/>
        </w:rPr>
        <w:t>Івано-Франківський арматурний завод</w:t>
      </w:r>
      <w:r w:rsidR="00B5489B">
        <w:rPr>
          <w:szCs w:val="24"/>
          <w:lang w:val="uk-UA"/>
        </w:rPr>
        <w:t>"</w:t>
      </w:r>
      <w:r w:rsidR="0040745B">
        <w:rPr>
          <w:szCs w:val="24"/>
          <w:lang w:val="uk-UA"/>
        </w:rPr>
        <w:t xml:space="preserve"> – 937,2 тис. грн</w:t>
      </w:r>
      <w:r w:rsidRPr="00720DC2">
        <w:rPr>
          <w:szCs w:val="24"/>
          <w:lang w:val="uk-UA"/>
        </w:rPr>
        <w:t xml:space="preserve">, ПП Фірма </w:t>
      </w:r>
      <w:r w:rsidR="00B5489B">
        <w:rPr>
          <w:szCs w:val="24"/>
          <w:lang w:val="uk-UA"/>
        </w:rPr>
        <w:t>"</w:t>
      </w:r>
      <w:r w:rsidRPr="00720DC2">
        <w:rPr>
          <w:szCs w:val="24"/>
          <w:lang w:val="uk-UA"/>
        </w:rPr>
        <w:t>Хімекс</w:t>
      </w:r>
      <w:r w:rsidR="00B5489B">
        <w:rPr>
          <w:szCs w:val="24"/>
          <w:lang w:val="uk-UA"/>
        </w:rPr>
        <w:t>"</w:t>
      </w:r>
      <w:r w:rsidR="0040745B">
        <w:rPr>
          <w:szCs w:val="24"/>
          <w:lang w:val="uk-UA"/>
        </w:rPr>
        <w:t xml:space="preserve"> – 225,4 тис. грн</w:t>
      </w:r>
      <w:r w:rsidRPr="00720DC2">
        <w:rPr>
          <w:szCs w:val="24"/>
          <w:lang w:val="uk-UA"/>
        </w:rPr>
        <w:t xml:space="preserve">, ТОВ </w:t>
      </w:r>
      <w:r w:rsidR="00B5489B">
        <w:rPr>
          <w:szCs w:val="24"/>
          <w:lang w:val="uk-UA"/>
        </w:rPr>
        <w:t>"</w:t>
      </w:r>
      <w:r w:rsidRPr="00720DC2">
        <w:rPr>
          <w:szCs w:val="24"/>
          <w:lang w:val="uk-UA"/>
        </w:rPr>
        <w:t>Західгазтех</w:t>
      </w:r>
      <w:r w:rsidR="00B5489B">
        <w:rPr>
          <w:szCs w:val="24"/>
          <w:lang w:val="uk-UA"/>
        </w:rPr>
        <w:t>"</w:t>
      </w:r>
      <w:r w:rsidRPr="00720DC2">
        <w:rPr>
          <w:szCs w:val="24"/>
          <w:lang w:val="uk-UA"/>
        </w:rPr>
        <w:t xml:space="preserve"> – 53,2 тис. грн.</w:t>
      </w:r>
    </w:p>
    <w:p w:rsidR="00E65AE4" w:rsidRPr="00720DC2" w:rsidRDefault="00E65AE4" w:rsidP="00E65AE4">
      <w:pPr>
        <w:ind w:firstLine="851"/>
        <w:jc w:val="both"/>
        <w:rPr>
          <w:lang w:val="uk-UA"/>
        </w:rPr>
      </w:pPr>
      <w:r w:rsidRPr="00720DC2">
        <w:rPr>
          <w:lang w:val="uk-UA"/>
        </w:rPr>
        <w:t>На підприємствах житлово-комунального господарства та на підприємствах бюджетної сфери заборгованість з виплати заробітної плати станом на 31.12.2018 р. відсутня.</w:t>
      </w:r>
    </w:p>
    <w:p w:rsidR="00E65AE4" w:rsidRPr="00720DC2" w:rsidRDefault="00E65AE4" w:rsidP="00E65AE4">
      <w:pPr>
        <w:ind w:firstLine="851"/>
        <w:jc w:val="both"/>
        <w:rPr>
          <w:szCs w:val="24"/>
          <w:lang w:val="uk-UA"/>
        </w:rPr>
      </w:pPr>
      <w:r w:rsidRPr="00720DC2">
        <w:rPr>
          <w:szCs w:val="24"/>
          <w:lang w:val="uk-UA"/>
        </w:rPr>
        <w:t>З метою зменшення кількості суб’єктів господарської діяльності, які за результатами податкової звітності нараховують та виплачують заробітну плату у розмірі, нижче законодавчо встановленого мінімального рівня</w:t>
      </w:r>
      <w:r w:rsidR="004F024F">
        <w:rPr>
          <w:szCs w:val="24"/>
          <w:lang w:val="uk-UA"/>
        </w:rPr>
        <w:t>,</w:t>
      </w:r>
      <w:r w:rsidRPr="00720DC2">
        <w:rPr>
          <w:szCs w:val="24"/>
          <w:lang w:val="uk-UA"/>
        </w:rPr>
        <w:t xml:space="preserve"> діє міська комісія з легалізації заробітної плати та зайнятості населення.</w:t>
      </w:r>
    </w:p>
    <w:p w:rsidR="00E65AE4" w:rsidRPr="00720DC2" w:rsidRDefault="00E65AE4" w:rsidP="00E65AE4">
      <w:pPr>
        <w:ind w:firstLine="851"/>
        <w:jc w:val="both"/>
        <w:rPr>
          <w:lang w:val="uk-UA" w:eastAsia="uk-UA"/>
        </w:rPr>
      </w:pPr>
      <w:r w:rsidRPr="00720DC2">
        <w:rPr>
          <w:lang w:val="uk-UA" w:eastAsia="uk-UA"/>
        </w:rPr>
        <w:t xml:space="preserve">Упродовж 2018 року відбулося 9 засідань комісії, на яких заслухано 112 керівників суб’єктів господарювання, проведена інформаційно-роз’яснювальна робота та співбесіди з 243 суб’єктами господарювання. </w:t>
      </w:r>
    </w:p>
    <w:p w:rsidR="00E65AE4" w:rsidRPr="00720DC2" w:rsidRDefault="00E65AE4" w:rsidP="00E65AE4">
      <w:pPr>
        <w:ind w:firstLine="708"/>
        <w:jc w:val="both"/>
        <w:rPr>
          <w:lang w:val="uk-UA" w:eastAsia="ru-RU"/>
        </w:rPr>
      </w:pPr>
      <w:r w:rsidRPr="00720DC2">
        <w:rPr>
          <w:lang w:val="uk-UA"/>
        </w:rPr>
        <w:t>Позитивним результатом роботи комісії є те, що за звітами ГУ ДФС в області за жовтень 2018 року 51,3% суб’єктів господарювання, з якими проведена інформаційно-роз’яснювальна робота</w:t>
      </w:r>
      <w:r w:rsidR="00F520B5">
        <w:rPr>
          <w:lang w:val="uk-UA"/>
        </w:rPr>
        <w:t>,</w:t>
      </w:r>
      <w:r w:rsidRPr="00720DC2">
        <w:rPr>
          <w:lang w:val="uk-UA"/>
        </w:rPr>
        <w:t xml:space="preserve"> підвищили розмір заробітної плати найманих працівників до законодавчо встановленого мінімального рівня і вище. Серед СГД, заслуханих на комісії, такий відсоток становить 46,3.</w:t>
      </w:r>
    </w:p>
    <w:p w:rsidR="00E65AE4" w:rsidRPr="00720DC2" w:rsidRDefault="00E65AE4" w:rsidP="00E65AE4">
      <w:pPr>
        <w:ind w:firstLine="851"/>
        <w:jc w:val="both"/>
        <w:rPr>
          <w:szCs w:val="24"/>
          <w:lang w:val="uk-UA"/>
        </w:rPr>
      </w:pPr>
      <w:r w:rsidRPr="00720DC2">
        <w:rPr>
          <w:szCs w:val="24"/>
          <w:lang w:val="uk-UA"/>
        </w:rPr>
        <w:t>Робочим органом міської комісії є рейдова міська робоча група з питань легалізації виплати заробітної плати та зайнятості населення. Основним завданням рейдової робочої групи є проведення інформаційно-роз’яснювальної роботи щодо соціальних ризиків для громадян, які не легалізують свою зайнятість та отримують заробітну плату неофіційно.</w:t>
      </w:r>
    </w:p>
    <w:p w:rsidR="00E65AE4" w:rsidRPr="00720DC2" w:rsidRDefault="00E65AE4" w:rsidP="00E65AE4">
      <w:pPr>
        <w:ind w:firstLine="851"/>
        <w:jc w:val="both"/>
        <w:rPr>
          <w:szCs w:val="24"/>
          <w:lang w:val="uk-UA"/>
        </w:rPr>
      </w:pPr>
      <w:r w:rsidRPr="00720DC2">
        <w:rPr>
          <w:lang w:val="uk-UA"/>
        </w:rPr>
        <w:t xml:space="preserve">Впродовж 2018 року членами рейдової міської робочої групи були обстежені суб’єкти господарювання, які здійснюють діяльність в торгівельній мережі міста продовольчими та непродовольчими товарами, в закладах ресторанного господарства, </w:t>
      </w:r>
      <w:r w:rsidRPr="00720DC2">
        <w:rPr>
          <w:szCs w:val="24"/>
          <w:lang w:val="uk-UA"/>
        </w:rPr>
        <w:t xml:space="preserve">які працюють у сфері надання побутових послуг тощо. </w:t>
      </w:r>
    </w:p>
    <w:p w:rsidR="00E65AE4" w:rsidRPr="00720DC2" w:rsidRDefault="00E65AE4" w:rsidP="00E65AE4">
      <w:pPr>
        <w:ind w:firstLine="851"/>
        <w:jc w:val="both"/>
        <w:rPr>
          <w:lang w:val="uk-UA"/>
        </w:rPr>
      </w:pPr>
      <w:r w:rsidRPr="00720DC2">
        <w:rPr>
          <w:lang w:val="uk-UA"/>
        </w:rPr>
        <w:t>Станом на 01.01.2019р. рейдовою групою проведена інформаційна робота з 1425 суб’єктами господарювання. У ході проведеної роботи виявлено 92 наймані працівники, які не представили відповідні документи про своє працевлаштування</w:t>
      </w:r>
      <w:r w:rsidR="0056172A">
        <w:rPr>
          <w:lang w:val="uk-UA"/>
        </w:rPr>
        <w:t>, оформлені</w:t>
      </w:r>
      <w:r w:rsidRPr="00720DC2">
        <w:rPr>
          <w:lang w:val="uk-UA"/>
        </w:rPr>
        <w:t xml:space="preserve"> належним чином. За результатами інформаційної роботи, проведеної членами рейдової групи, суб’єктами господарювання додатково було оформлено належним чином 99 найманих працівників. Сума легалізованої заробітної плати становить 368,6 тис. грн.</w:t>
      </w:r>
    </w:p>
    <w:p w:rsidR="00E65AE4" w:rsidRPr="00720DC2" w:rsidRDefault="00E65AE4" w:rsidP="00E65AE4">
      <w:pPr>
        <w:ind w:firstLine="706"/>
        <w:jc w:val="both"/>
        <w:rPr>
          <w:lang w:val="uk-UA"/>
        </w:rPr>
      </w:pPr>
      <w:r w:rsidRPr="00720DC2">
        <w:rPr>
          <w:lang w:val="uk-UA"/>
        </w:rPr>
        <w:t xml:space="preserve"> Також розроблений інформаційний ролик (соціальна реклама) </w:t>
      </w:r>
      <w:r w:rsidR="00DF350B">
        <w:rPr>
          <w:lang w:val="uk-UA"/>
        </w:rPr>
        <w:t xml:space="preserve">з аналогічною інформацією, який </w:t>
      </w:r>
      <w:r w:rsidRPr="00720DC2">
        <w:rPr>
          <w:lang w:val="uk-UA"/>
        </w:rPr>
        <w:t xml:space="preserve">транслювався місцевими телерадіокомпаніями та </w:t>
      </w:r>
      <w:r w:rsidR="00B5489B">
        <w:rPr>
          <w:lang w:val="uk-UA"/>
        </w:rPr>
        <w:t>"</w:t>
      </w:r>
      <w:r w:rsidRPr="00720DC2">
        <w:rPr>
          <w:lang w:val="uk-UA"/>
        </w:rPr>
        <w:t>вуличним радіо</w:t>
      </w:r>
      <w:r w:rsidR="00B5489B">
        <w:rPr>
          <w:lang w:val="uk-UA"/>
        </w:rPr>
        <w:t>"</w:t>
      </w:r>
      <w:r w:rsidRPr="00720DC2">
        <w:rPr>
          <w:lang w:val="uk-UA"/>
        </w:rPr>
        <w:t xml:space="preserve"> м. Івано-Франківська.</w:t>
      </w:r>
    </w:p>
    <w:p w:rsidR="00E65AE4" w:rsidRPr="00720DC2" w:rsidRDefault="00E65AE4" w:rsidP="00E65AE4">
      <w:pPr>
        <w:ind w:firstLine="851"/>
        <w:jc w:val="both"/>
        <w:rPr>
          <w:lang w:val="uk-UA"/>
        </w:rPr>
      </w:pPr>
      <w:r w:rsidRPr="00720DC2">
        <w:rPr>
          <w:lang w:val="uk-UA"/>
        </w:rPr>
        <w:t xml:space="preserve">З метою упередження виплати заробітної плати в </w:t>
      </w:r>
      <w:r w:rsidR="00B5489B">
        <w:rPr>
          <w:lang w:val="uk-UA"/>
        </w:rPr>
        <w:t>"</w:t>
      </w:r>
      <w:r w:rsidRPr="00720DC2">
        <w:rPr>
          <w:lang w:val="uk-UA"/>
        </w:rPr>
        <w:t>конвертах</w:t>
      </w:r>
      <w:r w:rsidR="00B5489B">
        <w:rPr>
          <w:lang w:val="uk-UA"/>
        </w:rPr>
        <w:t>"</w:t>
      </w:r>
      <w:r w:rsidRPr="00720DC2">
        <w:rPr>
          <w:lang w:val="uk-UA"/>
        </w:rPr>
        <w:t xml:space="preserve">  виготовлено та розміщено в різних частинах міста 4 білборди та 6 сітіл</w:t>
      </w:r>
      <w:r w:rsidR="000D6D3B">
        <w:rPr>
          <w:lang w:val="uk-UA"/>
        </w:rPr>
        <w:t>айтів із соціальною рекламою. П</w:t>
      </w:r>
      <w:r w:rsidRPr="00720DC2">
        <w:rPr>
          <w:lang w:val="uk-UA"/>
        </w:rPr>
        <w:t xml:space="preserve">ротягом 2018 року проведено 99 зустрічей з суб’єктами господарювання, засідань </w:t>
      </w:r>
      <w:r w:rsidR="00B5489B">
        <w:rPr>
          <w:lang w:val="uk-UA"/>
        </w:rPr>
        <w:t>"</w:t>
      </w:r>
      <w:r w:rsidRPr="00720DC2">
        <w:rPr>
          <w:lang w:val="uk-UA"/>
        </w:rPr>
        <w:t>круглих</w:t>
      </w:r>
      <w:r w:rsidR="00B5489B">
        <w:rPr>
          <w:lang w:val="uk-UA"/>
        </w:rPr>
        <w:t>"</w:t>
      </w:r>
      <w:r w:rsidRPr="00720DC2">
        <w:rPr>
          <w:lang w:val="uk-UA"/>
        </w:rPr>
        <w:t xml:space="preserve"> столів, зустрічей у трудових колективах, під час яких висвітлювались норми діючого законодавства в </w:t>
      </w:r>
      <w:r w:rsidRPr="00720DC2">
        <w:rPr>
          <w:lang w:val="uk-UA"/>
        </w:rPr>
        <w:lastRenderedPageBreak/>
        <w:t xml:space="preserve">частині права громадян на працю та обов’язковості оформлення трудових відносин. У цих заходах взяло участь 1911 учасників. </w:t>
      </w:r>
    </w:p>
    <w:p w:rsidR="001D2B22" w:rsidRPr="00720DC2" w:rsidRDefault="001D2B22" w:rsidP="00183E22">
      <w:pPr>
        <w:ind w:firstLine="851"/>
        <w:jc w:val="both"/>
        <w:rPr>
          <w:highlight w:val="yellow"/>
          <w:lang w:val="uk-UA"/>
        </w:rPr>
      </w:pPr>
    </w:p>
    <w:p w:rsidR="00183E22" w:rsidRPr="00720DC2" w:rsidRDefault="00183E22" w:rsidP="00183E22">
      <w:pPr>
        <w:pStyle w:val="a7"/>
        <w:tabs>
          <w:tab w:val="left" w:pos="709"/>
        </w:tabs>
        <w:spacing w:after="0"/>
        <w:jc w:val="both"/>
        <w:outlineLvl w:val="0"/>
        <w:rPr>
          <w:i/>
          <w:sz w:val="28"/>
          <w:szCs w:val="28"/>
          <w:lang w:val="uk-UA"/>
        </w:rPr>
      </w:pPr>
      <w:r w:rsidRPr="00720DC2">
        <w:rPr>
          <w:i/>
          <w:sz w:val="28"/>
          <w:szCs w:val="28"/>
          <w:lang w:val="uk-UA"/>
        </w:rPr>
        <w:tab/>
        <w:t xml:space="preserve">4.8 Соціальний захист населення </w:t>
      </w:r>
    </w:p>
    <w:p w:rsidR="00183E22" w:rsidRPr="00720DC2" w:rsidRDefault="00183E22" w:rsidP="00183E22">
      <w:pPr>
        <w:jc w:val="both"/>
        <w:rPr>
          <w:color w:val="000000"/>
          <w:lang w:val="uk-UA" w:eastAsia="zh-CN"/>
        </w:rPr>
      </w:pPr>
      <w:r w:rsidRPr="00720DC2">
        <w:rPr>
          <w:lang w:val="uk-UA"/>
        </w:rPr>
        <w:t xml:space="preserve">          Станом на 01.</w:t>
      </w:r>
      <w:r w:rsidR="00AA6A2C" w:rsidRPr="00720DC2">
        <w:rPr>
          <w:lang w:val="uk-UA"/>
        </w:rPr>
        <w:t>01</w:t>
      </w:r>
      <w:r w:rsidRPr="00720DC2">
        <w:rPr>
          <w:lang w:val="uk-UA"/>
        </w:rPr>
        <w:t>.201</w:t>
      </w:r>
      <w:r w:rsidR="00AA6A2C" w:rsidRPr="00720DC2">
        <w:rPr>
          <w:lang w:val="uk-UA"/>
        </w:rPr>
        <w:t>9</w:t>
      </w:r>
      <w:r w:rsidRPr="00720DC2">
        <w:rPr>
          <w:lang w:val="uk-UA"/>
        </w:rPr>
        <w:t xml:space="preserve"> року на обліку перебуває </w:t>
      </w:r>
      <w:r w:rsidR="00AA6A2C" w:rsidRPr="00720DC2">
        <w:rPr>
          <w:lang w:val="uk-UA"/>
        </w:rPr>
        <w:t>15377</w:t>
      </w:r>
      <w:r w:rsidRPr="00720DC2">
        <w:rPr>
          <w:lang w:val="uk-UA"/>
        </w:rPr>
        <w:t xml:space="preserve"> одержувачів допомог. Протягом року виплачено </w:t>
      </w:r>
      <w:r w:rsidRPr="00720DC2">
        <w:rPr>
          <w:color w:val="000000"/>
          <w:lang w:val="uk-UA" w:eastAsia="zh-CN"/>
        </w:rPr>
        <w:t xml:space="preserve">соціальних допомог на загальну суму </w:t>
      </w:r>
      <w:r w:rsidR="00AA6A2C" w:rsidRPr="00720DC2">
        <w:rPr>
          <w:color w:val="000000"/>
          <w:lang w:val="uk-UA" w:eastAsia="zh-CN"/>
        </w:rPr>
        <w:t>280,8</w:t>
      </w:r>
      <w:r w:rsidR="006A4354">
        <w:rPr>
          <w:color w:val="000000"/>
          <w:lang w:val="uk-UA" w:eastAsia="zh-CN"/>
        </w:rPr>
        <w:t xml:space="preserve"> млн </w:t>
      </w:r>
      <w:r w:rsidRPr="00720DC2">
        <w:rPr>
          <w:color w:val="000000"/>
          <w:lang w:val="uk-UA" w:eastAsia="zh-CN"/>
        </w:rPr>
        <w:t xml:space="preserve">грн. </w:t>
      </w:r>
    </w:p>
    <w:p w:rsidR="00183E22" w:rsidRPr="00720DC2" w:rsidRDefault="00183E22" w:rsidP="00183E22">
      <w:pPr>
        <w:tabs>
          <w:tab w:val="left" w:pos="0"/>
        </w:tabs>
        <w:ind w:firstLine="709"/>
        <w:jc w:val="both"/>
        <w:rPr>
          <w:lang w:val="uk-UA" w:eastAsia="cs-CZ"/>
        </w:rPr>
      </w:pPr>
      <w:r w:rsidRPr="00720DC2">
        <w:rPr>
          <w:lang w:val="uk-UA" w:eastAsia="cs-CZ"/>
        </w:rPr>
        <w:t xml:space="preserve">Одним із видів соціальних допомог є житлові субсидії - програма адресної соціальної допомоги малозабезпеченим верствам населення. </w:t>
      </w:r>
    </w:p>
    <w:p w:rsidR="00183E22" w:rsidRPr="00720DC2" w:rsidRDefault="00183E22" w:rsidP="00183E22">
      <w:pPr>
        <w:ind w:firstLine="709"/>
        <w:jc w:val="both"/>
        <w:rPr>
          <w:lang w:val="uk-UA"/>
        </w:rPr>
      </w:pPr>
      <w:r w:rsidRPr="00720DC2">
        <w:rPr>
          <w:color w:val="000000"/>
          <w:lang w:val="uk-UA"/>
        </w:rPr>
        <w:t>Для забезпечення ефективного та якісного прийому громадян з призначення державних субсидій на оплату житлово -</w:t>
      </w:r>
      <w:r w:rsidRPr="00720DC2">
        <w:rPr>
          <w:lang w:val="uk-UA"/>
        </w:rPr>
        <w:t xml:space="preserve"> комунальних послуг департаментом соціальної політики додатково облаштовано робочі місця для обслуговування мешканців мікрорайонів з питань надання субсидій на оплату житлово-комунальних послуг та належним чином організовано роботу в приміщеннях Муніципальної інвестиційної управляючої компанії за адресами: вул. Гетьмана Мазепи, 185; вул. Івана Павла ІІ,4; вул. Галицька,124а.</w:t>
      </w:r>
    </w:p>
    <w:p w:rsidR="00183E22" w:rsidRPr="00720DC2" w:rsidRDefault="00183E22" w:rsidP="00183E22">
      <w:pPr>
        <w:ind w:firstLine="709"/>
        <w:jc w:val="both"/>
        <w:rPr>
          <w:lang w:val="uk-UA"/>
        </w:rPr>
      </w:pPr>
      <w:r w:rsidRPr="00720DC2">
        <w:rPr>
          <w:lang w:val="uk-UA"/>
        </w:rPr>
        <w:t xml:space="preserve"> За період з 01.01.2018 року по </w:t>
      </w:r>
      <w:r w:rsidR="00AA6A2C" w:rsidRPr="00720DC2">
        <w:rPr>
          <w:lang w:val="uk-UA"/>
        </w:rPr>
        <w:t>29</w:t>
      </w:r>
      <w:r w:rsidRPr="00720DC2">
        <w:rPr>
          <w:lang w:val="uk-UA"/>
        </w:rPr>
        <w:t>.</w:t>
      </w:r>
      <w:r w:rsidR="00AA6A2C" w:rsidRPr="00720DC2">
        <w:rPr>
          <w:lang w:val="uk-UA"/>
        </w:rPr>
        <w:t>12</w:t>
      </w:r>
      <w:r w:rsidRPr="00720DC2">
        <w:rPr>
          <w:lang w:val="uk-UA"/>
        </w:rPr>
        <w:t>.2018 року за признач</w:t>
      </w:r>
      <w:r w:rsidR="00721AD0">
        <w:rPr>
          <w:lang w:val="uk-UA"/>
        </w:rPr>
        <w:t>енням житлової субсидії звернуло</w:t>
      </w:r>
      <w:r w:rsidRPr="00720DC2">
        <w:rPr>
          <w:lang w:val="uk-UA"/>
        </w:rPr>
        <w:t xml:space="preserve">ся </w:t>
      </w:r>
      <w:r w:rsidR="00AA6A2C" w:rsidRPr="00720DC2">
        <w:rPr>
          <w:lang w:val="uk-UA"/>
        </w:rPr>
        <w:t>18351</w:t>
      </w:r>
      <w:r w:rsidRPr="00720DC2">
        <w:rPr>
          <w:lang w:val="uk-UA"/>
        </w:rPr>
        <w:t xml:space="preserve"> домогосподарств</w:t>
      </w:r>
      <w:r w:rsidR="00AA6A2C" w:rsidRPr="00720DC2">
        <w:rPr>
          <w:lang w:val="uk-UA"/>
        </w:rPr>
        <w:t>о</w:t>
      </w:r>
      <w:r w:rsidRPr="00720DC2">
        <w:rPr>
          <w:lang w:val="uk-UA"/>
        </w:rPr>
        <w:t xml:space="preserve">, з них призначено житлову субсидію </w:t>
      </w:r>
      <w:r w:rsidR="00AA6A2C" w:rsidRPr="00720DC2">
        <w:rPr>
          <w:lang w:val="uk-UA"/>
        </w:rPr>
        <w:t>13993</w:t>
      </w:r>
      <w:r w:rsidRPr="00720DC2">
        <w:rPr>
          <w:lang w:val="uk-UA"/>
        </w:rPr>
        <w:t xml:space="preserve"> домогосподарствам. Сума нарахованих субсидій  становить </w:t>
      </w:r>
      <w:r w:rsidR="00AA6A2C" w:rsidRPr="00720DC2">
        <w:rPr>
          <w:lang w:val="uk-UA"/>
        </w:rPr>
        <w:t>293,9</w:t>
      </w:r>
      <w:r w:rsidRPr="00720DC2">
        <w:rPr>
          <w:lang w:val="uk-UA"/>
        </w:rPr>
        <w:t xml:space="preserve"> млн</w:t>
      </w:r>
      <w:r w:rsidR="00F76A6D">
        <w:rPr>
          <w:lang w:val="uk-UA"/>
        </w:rPr>
        <w:t xml:space="preserve"> </w:t>
      </w:r>
      <w:r w:rsidRPr="00720DC2">
        <w:rPr>
          <w:lang w:val="uk-UA"/>
        </w:rPr>
        <w:t>грн.</w:t>
      </w:r>
    </w:p>
    <w:p w:rsidR="00183E22" w:rsidRPr="00720DC2" w:rsidRDefault="00183E22" w:rsidP="00183E22">
      <w:pPr>
        <w:ind w:firstLine="708"/>
        <w:jc w:val="both"/>
        <w:rPr>
          <w:lang w:val="uk-UA"/>
        </w:rPr>
      </w:pPr>
      <w:r w:rsidRPr="00720DC2">
        <w:rPr>
          <w:lang w:val="uk-UA"/>
        </w:rPr>
        <w:t>Протягом поточного року відшкодовано субсидій  на оплату житлово-комунальних послуг на суму 3</w:t>
      </w:r>
      <w:r w:rsidR="00AA6A2C" w:rsidRPr="00720DC2">
        <w:rPr>
          <w:lang w:val="uk-UA"/>
        </w:rPr>
        <w:t>2</w:t>
      </w:r>
      <w:r w:rsidR="00CE59B9">
        <w:rPr>
          <w:lang w:val="uk-UA"/>
        </w:rPr>
        <w:t xml:space="preserve">8,2 млн </w:t>
      </w:r>
      <w:r w:rsidRPr="00720DC2">
        <w:rPr>
          <w:lang w:val="uk-UA"/>
        </w:rPr>
        <w:t>грн.</w:t>
      </w:r>
    </w:p>
    <w:p w:rsidR="00183E22" w:rsidRPr="00720DC2" w:rsidRDefault="00183E22" w:rsidP="00183E22">
      <w:pPr>
        <w:ind w:firstLine="720"/>
        <w:jc w:val="both"/>
        <w:rPr>
          <w:lang w:val="uk-UA"/>
        </w:rPr>
      </w:pPr>
      <w:r w:rsidRPr="00720DC2">
        <w:rPr>
          <w:lang w:val="uk-UA"/>
        </w:rPr>
        <w:t xml:space="preserve">На кінець </w:t>
      </w:r>
      <w:r w:rsidR="00AA6A2C" w:rsidRPr="00720DC2">
        <w:rPr>
          <w:lang w:val="uk-UA"/>
        </w:rPr>
        <w:t>листопада</w:t>
      </w:r>
      <w:r w:rsidRPr="00720DC2">
        <w:rPr>
          <w:lang w:val="uk-UA"/>
        </w:rPr>
        <w:t xml:space="preserve"> 2018 року населення найбільше заборгувало за централізоване опалення та гаряче водопостачання – </w:t>
      </w:r>
      <w:r w:rsidR="007D3CF3" w:rsidRPr="00720DC2">
        <w:rPr>
          <w:lang w:val="uk-UA"/>
        </w:rPr>
        <w:t>86,4</w:t>
      </w:r>
      <w:r w:rsidR="00F76A6D">
        <w:rPr>
          <w:lang w:val="uk-UA"/>
        </w:rPr>
        <w:t xml:space="preserve"> млн </w:t>
      </w:r>
      <w:r w:rsidRPr="00720DC2">
        <w:rPr>
          <w:lang w:val="uk-UA"/>
        </w:rPr>
        <w:t>грн. Заб</w:t>
      </w:r>
      <w:r w:rsidR="00876CB1">
        <w:rPr>
          <w:lang w:val="uk-UA"/>
        </w:rPr>
        <w:t xml:space="preserve">оргованість за газопостачання склала </w:t>
      </w:r>
      <w:r w:rsidR="007D3CF3" w:rsidRPr="00720DC2">
        <w:rPr>
          <w:lang w:val="uk-UA"/>
        </w:rPr>
        <w:t>52,5</w:t>
      </w:r>
      <w:r w:rsidR="00F76A6D">
        <w:rPr>
          <w:lang w:val="uk-UA"/>
        </w:rPr>
        <w:t xml:space="preserve"> млн </w:t>
      </w:r>
      <w:r w:rsidR="003866A9">
        <w:rPr>
          <w:lang w:val="uk-UA"/>
        </w:rPr>
        <w:t>грн</w:t>
      </w:r>
      <w:r w:rsidRPr="00720DC2">
        <w:rPr>
          <w:lang w:val="uk-UA"/>
        </w:rPr>
        <w:t xml:space="preserve">, </w:t>
      </w:r>
      <w:r w:rsidR="007D3CF3" w:rsidRPr="00720DC2">
        <w:rPr>
          <w:lang w:val="uk-UA"/>
        </w:rPr>
        <w:t>з утримання будинків і споруд та прибудин</w:t>
      </w:r>
      <w:r w:rsidR="00F76A6D">
        <w:rPr>
          <w:lang w:val="uk-UA"/>
        </w:rPr>
        <w:t xml:space="preserve">кових територій 31,3 млн </w:t>
      </w:r>
      <w:r w:rsidR="007D3CF3" w:rsidRPr="00720DC2">
        <w:rPr>
          <w:lang w:val="uk-UA"/>
        </w:rPr>
        <w:t>грн., за централізоване водопостачан</w:t>
      </w:r>
      <w:r w:rsidR="00F76A6D">
        <w:rPr>
          <w:lang w:val="uk-UA"/>
        </w:rPr>
        <w:t xml:space="preserve">ня та водовідведення – 21,8 млн грн </w:t>
      </w:r>
      <w:r w:rsidRPr="00720DC2">
        <w:rPr>
          <w:lang w:val="uk-UA"/>
        </w:rPr>
        <w:t xml:space="preserve">за електроенергію – </w:t>
      </w:r>
      <w:r w:rsidR="007D3CF3" w:rsidRPr="00720DC2">
        <w:rPr>
          <w:lang w:val="uk-UA"/>
        </w:rPr>
        <w:t>21</w:t>
      </w:r>
      <w:r w:rsidR="009859B4">
        <w:rPr>
          <w:lang w:val="uk-UA"/>
        </w:rPr>
        <w:t>,7 млн грн</w:t>
      </w:r>
      <w:r w:rsidRPr="00720DC2">
        <w:rPr>
          <w:lang w:val="uk-UA"/>
        </w:rPr>
        <w:t>, за вивезення побутових відходів – 15,</w:t>
      </w:r>
      <w:r w:rsidR="007D3CF3" w:rsidRPr="00720DC2">
        <w:rPr>
          <w:lang w:val="uk-UA"/>
        </w:rPr>
        <w:t>2</w:t>
      </w:r>
      <w:r w:rsidRPr="00720DC2">
        <w:rPr>
          <w:lang w:val="uk-UA"/>
        </w:rPr>
        <w:t xml:space="preserve"> млн</w:t>
      </w:r>
      <w:r w:rsidR="00F76A6D">
        <w:rPr>
          <w:lang w:val="uk-UA"/>
        </w:rPr>
        <w:t xml:space="preserve"> грн.</w:t>
      </w:r>
      <w:r w:rsidRPr="00720DC2">
        <w:rPr>
          <w:lang w:val="uk-UA"/>
        </w:rPr>
        <w:t xml:space="preserve"> </w:t>
      </w:r>
    </w:p>
    <w:p w:rsidR="00183E22" w:rsidRPr="00720DC2" w:rsidRDefault="00183E22" w:rsidP="00183E22">
      <w:pPr>
        <w:tabs>
          <w:tab w:val="left" w:pos="709"/>
        </w:tabs>
        <w:jc w:val="both"/>
        <w:rPr>
          <w:lang w:val="uk-UA"/>
        </w:rPr>
      </w:pPr>
      <w:r w:rsidRPr="00720DC2">
        <w:rPr>
          <w:lang w:val="uk-UA"/>
        </w:rPr>
        <w:tab/>
        <w:t xml:space="preserve">Для забезпечення виконання Програми соціальної підтримки окремих категорій громадян м.Івано-Франківська на 2018-2020 роки у частині надання компенсацій, надбавок до пенсій та інших соціальних виплат з коштів міського бюджету на 2018 рік виділено </w:t>
      </w:r>
      <w:r w:rsidR="007D3CF3" w:rsidRPr="00720DC2">
        <w:rPr>
          <w:lang w:val="uk-UA"/>
        </w:rPr>
        <w:t>11,2</w:t>
      </w:r>
      <w:r w:rsidR="00CC50D4">
        <w:rPr>
          <w:lang w:val="uk-UA"/>
        </w:rPr>
        <w:t xml:space="preserve"> млн </w:t>
      </w:r>
      <w:r w:rsidRPr="00720DC2">
        <w:rPr>
          <w:lang w:val="uk-UA"/>
        </w:rPr>
        <w:t>грн.</w:t>
      </w:r>
    </w:p>
    <w:p w:rsidR="00183E22" w:rsidRPr="00720DC2" w:rsidRDefault="00183E22" w:rsidP="00183E22">
      <w:pPr>
        <w:tabs>
          <w:tab w:val="left" w:pos="709"/>
        </w:tabs>
        <w:jc w:val="both"/>
        <w:rPr>
          <w:lang w:val="uk-UA"/>
        </w:rPr>
      </w:pPr>
      <w:r w:rsidRPr="00720DC2">
        <w:rPr>
          <w:lang w:val="uk-UA"/>
        </w:rPr>
        <w:tab/>
        <w:t xml:space="preserve">Протягом </w:t>
      </w:r>
      <w:r w:rsidR="003866A9">
        <w:rPr>
          <w:lang w:val="uk-UA"/>
        </w:rPr>
        <w:t xml:space="preserve">2018 </w:t>
      </w:r>
      <w:r w:rsidRPr="00720DC2">
        <w:rPr>
          <w:lang w:val="uk-UA"/>
        </w:rPr>
        <w:t xml:space="preserve">року виділено допомогу 798 жителям міста на суму </w:t>
      </w:r>
      <w:r w:rsidR="007D3CF3" w:rsidRPr="00720DC2">
        <w:rPr>
          <w:lang w:val="uk-UA"/>
        </w:rPr>
        <w:t>1,6</w:t>
      </w:r>
      <w:r w:rsidRPr="00720DC2">
        <w:rPr>
          <w:lang w:val="uk-UA"/>
        </w:rPr>
        <w:t xml:space="preserve"> млн грн.</w:t>
      </w:r>
      <w:r w:rsidRPr="00720DC2">
        <w:rPr>
          <w:szCs w:val="24"/>
          <w:lang w:val="uk-UA"/>
        </w:rPr>
        <w:tab/>
      </w:r>
    </w:p>
    <w:p w:rsidR="00183E22" w:rsidRPr="00720DC2" w:rsidRDefault="00183E22" w:rsidP="00183E22">
      <w:pPr>
        <w:tabs>
          <w:tab w:val="left" w:pos="709"/>
        </w:tabs>
        <w:jc w:val="both"/>
        <w:rPr>
          <w:color w:val="000000"/>
          <w:shd w:val="clear" w:color="auto" w:fill="FFFFFF"/>
          <w:lang w:val="uk-UA"/>
        </w:rPr>
      </w:pPr>
      <w:r w:rsidRPr="00720DC2">
        <w:rPr>
          <w:lang w:val="uk-UA"/>
        </w:rPr>
        <w:tab/>
        <w:t>C</w:t>
      </w:r>
      <w:r w:rsidR="007D3CF3" w:rsidRPr="00720DC2">
        <w:rPr>
          <w:lang w:val="uk-UA"/>
        </w:rPr>
        <w:t>таном на 01.</w:t>
      </w:r>
      <w:r w:rsidRPr="00720DC2">
        <w:rPr>
          <w:lang w:val="uk-UA"/>
        </w:rPr>
        <w:t>0</w:t>
      </w:r>
      <w:r w:rsidR="007D3CF3" w:rsidRPr="00720DC2">
        <w:rPr>
          <w:lang w:val="uk-UA"/>
        </w:rPr>
        <w:t>1.2019</w:t>
      </w:r>
      <w:r w:rsidRPr="00720DC2">
        <w:rPr>
          <w:lang w:val="uk-UA"/>
        </w:rPr>
        <w:t xml:space="preserve"> року в Єдин</w:t>
      </w:r>
      <w:r w:rsidR="007D3CF3" w:rsidRPr="00720DC2">
        <w:rPr>
          <w:lang w:val="uk-UA"/>
        </w:rPr>
        <w:t>і</w:t>
      </w:r>
      <w:r w:rsidR="00646524">
        <w:rPr>
          <w:lang w:val="uk-UA"/>
        </w:rPr>
        <w:t>й</w:t>
      </w:r>
      <w:r w:rsidRPr="00720DC2">
        <w:rPr>
          <w:lang w:val="uk-UA"/>
        </w:rPr>
        <w:t xml:space="preserve"> інформаційн</w:t>
      </w:r>
      <w:r w:rsidR="007D3CF3" w:rsidRPr="00720DC2">
        <w:rPr>
          <w:lang w:val="uk-UA"/>
        </w:rPr>
        <w:t>ій</w:t>
      </w:r>
      <w:r w:rsidRPr="00720DC2">
        <w:rPr>
          <w:lang w:val="uk-UA"/>
        </w:rPr>
        <w:t xml:space="preserve"> баз</w:t>
      </w:r>
      <w:r w:rsidR="007D3CF3" w:rsidRPr="00720DC2">
        <w:rPr>
          <w:lang w:val="uk-UA"/>
        </w:rPr>
        <w:t>і</w:t>
      </w:r>
      <w:r w:rsidRPr="00720DC2">
        <w:rPr>
          <w:lang w:val="uk-UA"/>
        </w:rPr>
        <w:t xml:space="preserve"> даних </w:t>
      </w:r>
      <w:r w:rsidR="007D3CF3" w:rsidRPr="00720DC2">
        <w:rPr>
          <w:lang w:val="uk-UA"/>
        </w:rPr>
        <w:t>на обліку перебуває 2104</w:t>
      </w:r>
      <w:r w:rsidRPr="00720DC2">
        <w:rPr>
          <w:lang w:val="uk-UA"/>
        </w:rPr>
        <w:t xml:space="preserve"> </w:t>
      </w:r>
      <w:r w:rsidR="00FD0DB3">
        <w:rPr>
          <w:bCs/>
          <w:lang w:val="uk-UA" w:eastAsia="zh-CN"/>
        </w:rPr>
        <w:t>внутрішньо переміщені</w:t>
      </w:r>
      <w:r w:rsidRPr="00720DC2">
        <w:rPr>
          <w:bCs/>
          <w:lang w:val="uk-UA" w:eastAsia="zh-CN"/>
        </w:rPr>
        <w:t xml:space="preserve"> </w:t>
      </w:r>
      <w:r w:rsidRPr="00720DC2">
        <w:rPr>
          <w:lang w:val="uk-UA"/>
        </w:rPr>
        <w:t>ос</w:t>
      </w:r>
      <w:r w:rsidR="007D3CF3" w:rsidRPr="00720DC2">
        <w:rPr>
          <w:lang w:val="uk-UA"/>
        </w:rPr>
        <w:t>о</w:t>
      </w:r>
      <w:r w:rsidRPr="00720DC2">
        <w:rPr>
          <w:lang w:val="uk-UA"/>
        </w:rPr>
        <w:t>б</w:t>
      </w:r>
      <w:r w:rsidR="007D3CF3" w:rsidRPr="00720DC2">
        <w:rPr>
          <w:lang w:val="uk-UA"/>
        </w:rPr>
        <w:t>и</w:t>
      </w:r>
      <w:r w:rsidRPr="00720DC2">
        <w:rPr>
          <w:lang w:val="uk-UA"/>
        </w:rPr>
        <w:t xml:space="preserve">, з них: </w:t>
      </w:r>
      <w:r w:rsidR="007D3CF3" w:rsidRPr="00720DC2">
        <w:rPr>
          <w:color w:val="000000"/>
          <w:shd w:val="clear" w:color="auto" w:fill="FFFFFF"/>
          <w:lang w:val="uk-UA"/>
        </w:rPr>
        <w:t>1044</w:t>
      </w:r>
      <w:r w:rsidRPr="00720DC2">
        <w:rPr>
          <w:color w:val="000000"/>
          <w:shd w:val="clear" w:color="auto" w:fill="FFFFFF"/>
          <w:lang w:val="uk-UA"/>
        </w:rPr>
        <w:t xml:space="preserve"> працездатних ос</w:t>
      </w:r>
      <w:r w:rsidR="007D3CF3" w:rsidRPr="00720DC2">
        <w:rPr>
          <w:color w:val="000000"/>
          <w:shd w:val="clear" w:color="auto" w:fill="FFFFFF"/>
          <w:lang w:val="uk-UA"/>
        </w:rPr>
        <w:t>о</w:t>
      </w:r>
      <w:r w:rsidRPr="00720DC2">
        <w:rPr>
          <w:color w:val="000000"/>
          <w:shd w:val="clear" w:color="auto" w:fill="FFFFFF"/>
          <w:lang w:val="uk-UA"/>
        </w:rPr>
        <w:t>б</w:t>
      </w:r>
      <w:r w:rsidR="007D3CF3" w:rsidRPr="00720DC2">
        <w:rPr>
          <w:color w:val="000000"/>
          <w:shd w:val="clear" w:color="auto" w:fill="FFFFFF"/>
          <w:lang w:val="uk-UA"/>
        </w:rPr>
        <w:t>и</w:t>
      </w:r>
      <w:r w:rsidRPr="00720DC2">
        <w:rPr>
          <w:color w:val="000000"/>
          <w:shd w:val="clear" w:color="auto" w:fill="FFFFFF"/>
          <w:lang w:val="uk-UA"/>
        </w:rPr>
        <w:t xml:space="preserve">, </w:t>
      </w:r>
      <w:r w:rsidR="007D3CF3" w:rsidRPr="00720DC2">
        <w:rPr>
          <w:color w:val="000000"/>
          <w:shd w:val="clear" w:color="auto" w:fill="FFFFFF"/>
          <w:lang w:val="uk-UA"/>
        </w:rPr>
        <w:t>544 ди</w:t>
      </w:r>
      <w:r w:rsidRPr="00720DC2">
        <w:rPr>
          <w:color w:val="000000"/>
          <w:shd w:val="clear" w:color="auto" w:fill="FFFFFF"/>
          <w:lang w:val="uk-UA"/>
        </w:rPr>
        <w:t>т</w:t>
      </w:r>
      <w:r w:rsidR="007D3CF3" w:rsidRPr="00720DC2">
        <w:rPr>
          <w:color w:val="000000"/>
          <w:shd w:val="clear" w:color="auto" w:fill="FFFFFF"/>
          <w:lang w:val="uk-UA"/>
        </w:rPr>
        <w:t>ини</w:t>
      </w:r>
      <w:r w:rsidRPr="00720DC2">
        <w:rPr>
          <w:color w:val="000000"/>
          <w:shd w:val="clear" w:color="auto" w:fill="FFFFFF"/>
          <w:lang w:val="uk-UA"/>
        </w:rPr>
        <w:t xml:space="preserve">, </w:t>
      </w:r>
      <w:r w:rsidR="007D3CF3" w:rsidRPr="00720DC2">
        <w:rPr>
          <w:color w:val="000000"/>
          <w:shd w:val="clear" w:color="auto" w:fill="FFFFFF"/>
          <w:lang w:val="uk-UA"/>
        </w:rPr>
        <w:t>9</w:t>
      </w:r>
      <w:r w:rsidRPr="00720DC2">
        <w:rPr>
          <w:color w:val="000000"/>
          <w:shd w:val="clear" w:color="auto" w:fill="FFFFFF"/>
          <w:lang w:val="uk-UA"/>
        </w:rPr>
        <w:t xml:space="preserve">8 осіб з інвалідністю та </w:t>
      </w:r>
      <w:r w:rsidR="007D3CF3" w:rsidRPr="00720DC2">
        <w:rPr>
          <w:color w:val="000000"/>
          <w:shd w:val="clear" w:color="auto" w:fill="FFFFFF"/>
          <w:lang w:val="uk-UA"/>
        </w:rPr>
        <w:t>408</w:t>
      </w:r>
      <w:r w:rsidRPr="00720DC2">
        <w:rPr>
          <w:color w:val="000000"/>
          <w:shd w:val="clear" w:color="auto" w:fill="FFFFFF"/>
          <w:lang w:val="uk-UA"/>
        </w:rPr>
        <w:t xml:space="preserve"> пенсіонерів.</w:t>
      </w:r>
    </w:p>
    <w:p w:rsidR="00183E22" w:rsidRPr="00720DC2" w:rsidRDefault="00183E22" w:rsidP="00183E22">
      <w:pPr>
        <w:jc w:val="both"/>
        <w:rPr>
          <w:lang w:val="uk-UA"/>
        </w:rPr>
      </w:pPr>
      <w:r w:rsidRPr="00720DC2">
        <w:rPr>
          <w:lang w:val="uk-UA"/>
        </w:rPr>
        <w:t xml:space="preserve">          </w:t>
      </w:r>
      <w:r w:rsidR="00387447">
        <w:rPr>
          <w:color w:val="000000"/>
          <w:lang w:val="uk-UA" w:eastAsia="zh-CN"/>
        </w:rPr>
        <w:t>Відповідно до П</w:t>
      </w:r>
      <w:r w:rsidRPr="00720DC2">
        <w:rPr>
          <w:color w:val="000000"/>
          <w:lang w:val="uk-UA" w:eastAsia="zh-CN"/>
        </w:rPr>
        <w:t xml:space="preserve">останови Кабінету Міністрів України від 01.10.2014р. №505 </w:t>
      </w:r>
      <w:r w:rsidR="00D4778A" w:rsidRPr="00720DC2">
        <w:rPr>
          <w:color w:val="000000"/>
          <w:lang w:val="uk-UA" w:eastAsia="zh-CN"/>
        </w:rPr>
        <w:t>"</w:t>
      </w:r>
      <w:r w:rsidRPr="00720DC2">
        <w:rPr>
          <w:color w:val="000000"/>
          <w:lang w:val="uk-UA" w:eastAsia="zh-CN"/>
        </w:rPr>
        <w:t>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w:t>
      </w:r>
      <w:r w:rsidR="00D4778A" w:rsidRPr="00720DC2">
        <w:rPr>
          <w:color w:val="000000"/>
          <w:lang w:val="uk-UA" w:eastAsia="zh-CN"/>
        </w:rPr>
        <w:t>"</w:t>
      </w:r>
      <w:r w:rsidRPr="00720DC2">
        <w:rPr>
          <w:color w:val="000000"/>
          <w:lang w:val="uk-UA" w:eastAsia="zh-CN"/>
        </w:rPr>
        <w:t xml:space="preserve"> призначена щомісячна адресна допомога </w:t>
      </w:r>
      <w:r w:rsidRPr="00720DC2">
        <w:rPr>
          <w:bCs/>
          <w:color w:val="000000"/>
          <w:lang w:val="uk-UA" w:eastAsia="zh-CN"/>
        </w:rPr>
        <w:t>4</w:t>
      </w:r>
      <w:r w:rsidR="007D3CF3" w:rsidRPr="00720DC2">
        <w:rPr>
          <w:bCs/>
          <w:color w:val="000000"/>
          <w:lang w:val="uk-UA" w:eastAsia="zh-CN"/>
        </w:rPr>
        <w:t>07</w:t>
      </w:r>
      <w:r w:rsidRPr="00720DC2">
        <w:rPr>
          <w:color w:val="000000"/>
          <w:lang w:val="uk-UA" w:eastAsia="zh-CN"/>
        </w:rPr>
        <w:t xml:space="preserve"> сім’ям на оплату комунальних послуг,</w:t>
      </w:r>
      <w:r w:rsidR="00EE5D37" w:rsidRPr="00720DC2">
        <w:rPr>
          <w:color w:val="000000"/>
          <w:lang w:val="uk-UA" w:eastAsia="zh-CN"/>
        </w:rPr>
        <w:t xml:space="preserve"> </w:t>
      </w:r>
      <w:r w:rsidRPr="00720DC2">
        <w:rPr>
          <w:color w:val="000000"/>
          <w:lang w:val="uk-UA" w:eastAsia="zh-CN"/>
        </w:rPr>
        <w:t>п</w:t>
      </w:r>
      <w:r w:rsidRPr="00720DC2">
        <w:rPr>
          <w:lang w:val="uk-UA"/>
        </w:rPr>
        <w:t xml:space="preserve">рофінансовано </w:t>
      </w:r>
      <w:r w:rsidR="007D3CF3" w:rsidRPr="00720DC2">
        <w:rPr>
          <w:lang w:val="uk-UA"/>
        </w:rPr>
        <w:t xml:space="preserve">протягом </w:t>
      </w:r>
      <w:r w:rsidRPr="00720DC2">
        <w:rPr>
          <w:lang w:val="uk-UA"/>
        </w:rPr>
        <w:t xml:space="preserve">року </w:t>
      </w:r>
      <w:r w:rsidR="007D3CF3" w:rsidRPr="00720DC2">
        <w:rPr>
          <w:lang w:val="uk-UA"/>
        </w:rPr>
        <w:t>8,2</w:t>
      </w:r>
      <w:r w:rsidR="00F76A6D">
        <w:rPr>
          <w:lang w:val="uk-UA"/>
        </w:rPr>
        <w:t xml:space="preserve"> млн </w:t>
      </w:r>
      <w:r w:rsidRPr="00720DC2">
        <w:rPr>
          <w:lang w:val="uk-UA"/>
        </w:rPr>
        <w:t>грн.</w:t>
      </w:r>
    </w:p>
    <w:p w:rsidR="007C14A7" w:rsidRPr="00720DC2" w:rsidRDefault="007C14A7" w:rsidP="00183E22">
      <w:pPr>
        <w:jc w:val="both"/>
        <w:rPr>
          <w:lang w:val="uk-UA"/>
        </w:rPr>
      </w:pPr>
      <w:r w:rsidRPr="00720DC2">
        <w:rPr>
          <w:noProof/>
          <w:lang w:val="uk-UA" w:eastAsia="uk-UA"/>
        </w:rPr>
        <w:lastRenderedPageBreak/>
        <w:drawing>
          <wp:inline distT="0" distB="0" distL="0" distR="0" wp14:anchorId="6B22FB2F" wp14:editId="380B39AE">
            <wp:extent cx="5847008" cy="1989786"/>
            <wp:effectExtent l="0" t="0" r="2095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14A7" w:rsidRPr="00720DC2" w:rsidRDefault="007C14A7" w:rsidP="00183E22">
      <w:pPr>
        <w:jc w:val="both"/>
        <w:rPr>
          <w:lang w:val="uk-UA"/>
        </w:rPr>
      </w:pPr>
    </w:p>
    <w:p w:rsidR="007D3CF3" w:rsidRPr="00720DC2" w:rsidRDefault="00EE5D37" w:rsidP="00183E22">
      <w:pPr>
        <w:jc w:val="both"/>
        <w:rPr>
          <w:lang w:val="uk-UA"/>
        </w:rPr>
      </w:pPr>
      <w:r w:rsidRPr="00720DC2">
        <w:rPr>
          <w:lang w:val="uk-UA"/>
        </w:rPr>
        <w:tab/>
        <w:t>Відповідно до Постанови Кабінету Міністрів України від 21.06.2017р. №432 "</w:t>
      </w:r>
      <w:r w:rsidRPr="00720DC2">
        <w:rPr>
          <w:bCs/>
          <w:color w:val="000000"/>
          <w:shd w:val="clear" w:color="auto" w:fill="FFFFFF"/>
          <w:lang w:val="uk-UA"/>
        </w:rPr>
        <w:t>Про затвердження Порядку організації соціальної та професійної адаптації учасників антитерористичної операції та постраждалих учасників Революції Гідност</w:t>
      </w:r>
      <w:r w:rsidRPr="00720DC2">
        <w:rPr>
          <w:bCs/>
          <w:color w:val="000000"/>
          <w:sz w:val="32"/>
          <w:szCs w:val="32"/>
          <w:shd w:val="clear" w:color="auto" w:fill="FFFFFF"/>
          <w:lang w:val="uk-UA"/>
        </w:rPr>
        <w:t xml:space="preserve">і" </w:t>
      </w:r>
      <w:r w:rsidRPr="00720DC2">
        <w:rPr>
          <w:bCs/>
          <w:color w:val="000000"/>
          <w:shd w:val="clear" w:color="auto" w:fill="FFFFFF"/>
          <w:lang w:val="uk-UA"/>
        </w:rPr>
        <w:t xml:space="preserve">у 2018 році відповідно до укладених договорів з ПП "Автобан" проведено навчання 23 учасників АТО (ОСС) за програмою підготовки водіїв транспортних засобів. Вартість навчання </w:t>
      </w:r>
      <w:r w:rsidR="00F76A6D">
        <w:rPr>
          <w:bCs/>
          <w:color w:val="000000"/>
          <w:shd w:val="clear" w:color="auto" w:fill="FFFFFF"/>
          <w:lang w:val="uk-UA"/>
        </w:rPr>
        <w:t>с</w:t>
      </w:r>
      <w:r w:rsidRPr="00720DC2">
        <w:rPr>
          <w:bCs/>
          <w:color w:val="000000"/>
          <w:shd w:val="clear" w:color="auto" w:fill="FFFFFF"/>
          <w:lang w:val="uk-UA"/>
        </w:rPr>
        <w:t>к</w:t>
      </w:r>
      <w:r w:rsidR="00F76A6D">
        <w:rPr>
          <w:bCs/>
          <w:color w:val="000000"/>
          <w:shd w:val="clear" w:color="auto" w:fill="FFFFFF"/>
          <w:lang w:val="uk-UA"/>
        </w:rPr>
        <w:t>л</w:t>
      </w:r>
      <w:r w:rsidRPr="00720DC2">
        <w:rPr>
          <w:bCs/>
          <w:color w:val="000000"/>
          <w:shd w:val="clear" w:color="auto" w:fill="FFFFFF"/>
          <w:lang w:val="uk-UA"/>
        </w:rPr>
        <w:t>ала 112,3</w:t>
      </w:r>
      <w:r w:rsidR="00F76A6D">
        <w:rPr>
          <w:bCs/>
          <w:color w:val="000000"/>
          <w:shd w:val="clear" w:color="auto" w:fill="FFFFFF"/>
          <w:lang w:val="uk-UA"/>
        </w:rPr>
        <w:t xml:space="preserve"> </w:t>
      </w:r>
      <w:r w:rsidRPr="00720DC2">
        <w:rPr>
          <w:bCs/>
          <w:color w:val="000000"/>
          <w:shd w:val="clear" w:color="auto" w:fill="FFFFFF"/>
          <w:lang w:val="uk-UA"/>
        </w:rPr>
        <w:t>тис.грн.</w:t>
      </w:r>
    </w:p>
    <w:p w:rsidR="00183E22" w:rsidRPr="00720DC2" w:rsidRDefault="00183E22" w:rsidP="00183E22">
      <w:pPr>
        <w:ind w:firstLine="709"/>
        <w:jc w:val="both"/>
        <w:rPr>
          <w:lang w:val="uk-UA"/>
        </w:rPr>
      </w:pPr>
      <w:r w:rsidRPr="00720DC2">
        <w:rPr>
          <w:lang w:val="uk-UA"/>
        </w:rPr>
        <w:t xml:space="preserve">З метою оздоровлення пільгових категорій громадян згідно з чинним законодавством, за кошти </w:t>
      </w:r>
      <w:r w:rsidR="00EB1EAB" w:rsidRPr="00720DC2">
        <w:rPr>
          <w:lang w:val="uk-UA"/>
        </w:rPr>
        <w:t>держав</w:t>
      </w:r>
      <w:r w:rsidRPr="00720DC2">
        <w:rPr>
          <w:lang w:val="uk-UA"/>
        </w:rPr>
        <w:t xml:space="preserve">ного бюджету закуплено </w:t>
      </w:r>
      <w:r w:rsidR="00EB1EAB" w:rsidRPr="00720DC2">
        <w:rPr>
          <w:lang w:val="uk-UA"/>
        </w:rPr>
        <w:t>121</w:t>
      </w:r>
      <w:r w:rsidRPr="00720DC2">
        <w:rPr>
          <w:lang w:val="uk-UA"/>
        </w:rPr>
        <w:t xml:space="preserve"> путівк</w:t>
      </w:r>
      <w:r w:rsidR="00EB1EAB" w:rsidRPr="00720DC2">
        <w:rPr>
          <w:lang w:val="uk-UA"/>
        </w:rPr>
        <w:t>у</w:t>
      </w:r>
      <w:r w:rsidRPr="00720DC2">
        <w:rPr>
          <w:lang w:val="uk-UA"/>
        </w:rPr>
        <w:t xml:space="preserve"> в  санаторно-курортні заклади на загальну суму </w:t>
      </w:r>
      <w:r w:rsidR="00EB1EAB" w:rsidRPr="00720DC2">
        <w:rPr>
          <w:lang w:val="uk-UA"/>
        </w:rPr>
        <w:t>1038,9</w:t>
      </w:r>
      <w:r w:rsidR="00F76A6D">
        <w:rPr>
          <w:lang w:val="uk-UA"/>
        </w:rPr>
        <w:t xml:space="preserve"> тис.грн</w:t>
      </w:r>
      <w:r w:rsidRPr="00720DC2">
        <w:rPr>
          <w:lang w:val="uk-UA"/>
        </w:rPr>
        <w:t xml:space="preserve">, з них  </w:t>
      </w:r>
      <w:r w:rsidR="00EB1EAB" w:rsidRPr="00720DC2">
        <w:rPr>
          <w:lang w:val="uk-UA"/>
        </w:rPr>
        <w:t>78</w:t>
      </w:r>
      <w:r w:rsidRPr="00720DC2">
        <w:rPr>
          <w:lang w:val="uk-UA"/>
        </w:rPr>
        <w:t xml:space="preserve"> путівок - учасникам АТО на суму </w:t>
      </w:r>
      <w:r w:rsidR="00EB1EAB" w:rsidRPr="00720DC2">
        <w:rPr>
          <w:lang w:val="uk-UA"/>
        </w:rPr>
        <w:t>621,6</w:t>
      </w:r>
      <w:r w:rsidRPr="00720DC2">
        <w:rPr>
          <w:lang w:val="uk-UA"/>
        </w:rPr>
        <w:t xml:space="preserve"> тис.грн.</w:t>
      </w:r>
    </w:p>
    <w:p w:rsidR="00183E22" w:rsidRPr="00720DC2" w:rsidRDefault="00183E22" w:rsidP="00183E22">
      <w:pPr>
        <w:ind w:firstLine="540"/>
        <w:jc w:val="both"/>
        <w:textAlignment w:val="baseline"/>
        <w:rPr>
          <w:rFonts w:eastAsia="Arial Unicode MS"/>
          <w:lang w:val="uk-UA"/>
        </w:rPr>
      </w:pPr>
      <w:r w:rsidRPr="00720DC2">
        <w:rPr>
          <w:rFonts w:eastAsia="Arial Unicode MS"/>
          <w:lang w:val="uk-UA"/>
        </w:rPr>
        <w:t>У відповідності зі змінами до Порядку забезпечення технічними та іншими засобами реабілітації осіб з інвалідністю та інших окремих категорій населення і виплати грошової компенсації вартості за самостійне придбання технічних засобів реабілітації, перелікі</w:t>
      </w:r>
      <w:r w:rsidR="00D653BE">
        <w:rPr>
          <w:rFonts w:eastAsia="Arial Unicode MS"/>
          <w:lang w:val="uk-UA"/>
        </w:rPr>
        <w:t>в таких засобів, затвердженого П</w:t>
      </w:r>
      <w:r w:rsidRPr="00720DC2">
        <w:rPr>
          <w:rFonts w:eastAsia="Arial Unicode MS"/>
          <w:lang w:val="uk-UA"/>
        </w:rPr>
        <w:t xml:space="preserve">остановою Кабінету Міністрів України №321 від 05.04.2012 року департаментом </w:t>
      </w:r>
      <w:r w:rsidR="00361F1E" w:rsidRPr="00720DC2">
        <w:rPr>
          <w:rFonts w:eastAsia="Arial Unicode MS"/>
          <w:lang w:val="uk-UA"/>
        </w:rPr>
        <w:t xml:space="preserve">соціальної політики </w:t>
      </w:r>
      <w:r w:rsidRPr="00720DC2">
        <w:rPr>
          <w:rFonts w:eastAsia="Arial Unicode MS"/>
          <w:lang w:val="uk-UA"/>
        </w:rPr>
        <w:t>укладаються двох- та трьохсторонні договори про забезпечення осіб з інвалідністю, дітей з інвалідністю та інших окремих категорій населення технічними засобами реабілітації (ТЗР). Станом на 01.0</w:t>
      </w:r>
      <w:r w:rsidR="00361F1E" w:rsidRPr="00720DC2">
        <w:rPr>
          <w:rFonts w:eastAsia="Arial Unicode MS"/>
          <w:lang w:val="uk-UA"/>
        </w:rPr>
        <w:t>1</w:t>
      </w:r>
      <w:r w:rsidRPr="00720DC2">
        <w:rPr>
          <w:rFonts w:eastAsia="Arial Unicode MS"/>
          <w:lang w:val="uk-UA"/>
        </w:rPr>
        <w:t>.201</w:t>
      </w:r>
      <w:r w:rsidR="00361F1E" w:rsidRPr="00720DC2">
        <w:rPr>
          <w:rFonts w:eastAsia="Arial Unicode MS"/>
          <w:lang w:val="uk-UA"/>
        </w:rPr>
        <w:t>9</w:t>
      </w:r>
      <w:r w:rsidRPr="00720DC2">
        <w:rPr>
          <w:rFonts w:eastAsia="Arial Unicode MS"/>
          <w:lang w:val="uk-UA"/>
        </w:rPr>
        <w:t xml:space="preserve"> року укладено </w:t>
      </w:r>
      <w:r w:rsidR="00361F1E" w:rsidRPr="00720DC2">
        <w:rPr>
          <w:rFonts w:eastAsia="Arial Unicode MS"/>
          <w:lang w:val="uk-UA"/>
        </w:rPr>
        <w:t>187</w:t>
      </w:r>
      <w:r w:rsidRPr="00720DC2">
        <w:rPr>
          <w:rFonts w:eastAsia="Arial Unicode MS"/>
          <w:lang w:val="uk-UA"/>
        </w:rPr>
        <w:t xml:space="preserve"> договорів на суму </w:t>
      </w:r>
      <w:r w:rsidR="00361F1E" w:rsidRPr="00720DC2">
        <w:rPr>
          <w:rFonts w:eastAsia="Arial Unicode MS"/>
          <w:lang w:val="uk-UA"/>
        </w:rPr>
        <w:t>5,5</w:t>
      </w:r>
      <w:r w:rsidR="00F76A6D">
        <w:rPr>
          <w:rFonts w:eastAsia="Arial Unicode MS"/>
          <w:lang w:val="uk-UA"/>
        </w:rPr>
        <w:t xml:space="preserve"> млн </w:t>
      </w:r>
      <w:r w:rsidRPr="00720DC2">
        <w:rPr>
          <w:rFonts w:eastAsia="Arial Unicode MS"/>
          <w:lang w:val="uk-UA"/>
        </w:rPr>
        <w:t>грн.</w:t>
      </w:r>
    </w:p>
    <w:p w:rsidR="00183E22" w:rsidRPr="00720DC2" w:rsidRDefault="00183E22" w:rsidP="00183E22">
      <w:pPr>
        <w:ind w:firstLine="708"/>
        <w:jc w:val="both"/>
        <w:rPr>
          <w:lang w:val="uk-UA"/>
        </w:rPr>
      </w:pPr>
      <w:r w:rsidRPr="00720DC2">
        <w:rPr>
          <w:color w:val="000000"/>
          <w:lang w:val="uk-UA"/>
        </w:rPr>
        <w:t xml:space="preserve">Відповідно до Положення про комісію </w:t>
      </w:r>
      <w:r w:rsidRPr="00720DC2">
        <w:rPr>
          <w:bCs/>
          <w:color w:val="000000"/>
          <w:lang w:val="uk-UA"/>
        </w:rPr>
        <w:t>з надання допомоги онкохворим дітям</w:t>
      </w:r>
      <w:r w:rsidRPr="00720DC2">
        <w:rPr>
          <w:color w:val="000000"/>
          <w:lang w:val="uk-UA"/>
        </w:rPr>
        <w:t xml:space="preserve"> у 2018 році надавалась допомога родичам дітей з онкологічними захворюваннями з коштів, які</w:t>
      </w:r>
      <w:r w:rsidRPr="00720DC2">
        <w:rPr>
          <w:lang w:val="uk-UA"/>
        </w:rPr>
        <w:t xml:space="preserve"> передбачені у міському бюджеті. </w:t>
      </w:r>
      <w:r w:rsidR="00361F1E" w:rsidRPr="00720DC2">
        <w:rPr>
          <w:lang w:val="uk-UA"/>
        </w:rPr>
        <w:t xml:space="preserve">Зокрема, </w:t>
      </w:r>
      <w:r w:rsidRPr="00720DC2">
        <w:rPr>
          <w:lang w:val="uk-UA"/>
        </w:rPr>
        <w:t xml:space="preserve">розглянуто </w:t>
      </w:r>
      <w:r w:rsidR="00361F1E" w:rsidRPr="00720DC2">
        <w:rPr>
          <w:lang w:val="uk-UA"/>
        </w:rPr>
        <w:t>12</w:t>
      </w:r>
      <w:r w:rsidRPr="00720DC2">
        <w:rPr>
          <w:lang w:val="uk-UA"/>
        </w:rPr>
        <w:t xml:space="preserve"> звернень від батьків  дітей з онкологічними  захворюваннями та виділено допомогу на загальну суму </w:t>
      </w:r>
      <w:r w:rsidR="00361F1E" w:rsidRPr="00720DC2">
        <w:rPr>
          <w:lang w:val="uk-UA"/>
        </w:rPr>
        <w:t>900</w:t>
      </w:r>
      <w:r w:rsidRPr="00720DC2">
        <w:rPr>
          <w:lang w:val="uk-UA"/>
        </w:rPr>
        <w:t xml:space="preserve"> тис.грн.       </w:t>
      </w:r>
    </w:p>
    <w:p w:rsidR="00183E22" w:rsidRPr="00720DC2" w:rsidRDefault="00183E22" w:rsidP="00183E22">
      <w:pPr>
        <w:tabs>
          <w:tab w:val="left" w:pos="3432"/>
        </w:tabs>
        <w:jc w:val="both"/>
        <w:rPr>
          <w:rFonts w:eastAsia="Arial Unicode MS" w:cs="Arial Unicode MS"/>
          <w:color w:val="000000"/>
          <w:lang w:val="uk-UA"/>
        </w:rPr>
      </w:pPr>
      <w:r w:rsidRPr="00720DC2">
        <w:rPr>
          <w:rFonts w:eastAsia="Arial Unicode MS" w:cs="Arial Unicode MS"/>
          <w:color w:val="000000"/>
          <w:lang w:val="uk-UA"/>
        </w:rPr>
        <w:t xml:space="preserve">        Закуплено 20 путівок дітям пільгових категорій у позаміський заклад оздоровлення та відпочинку </w:t>
      </w:r>
      <w:r w:rsidR="00D4778A" w:rsidRPr="00720DC2">
        <w:rPr>
          <w:rFonts w:eastAsia="Arial Unicode MS" w:cs="Arial Unicode MS"/>
          <w:color w:val="000000"/>
          <w:lang w:val="uk-UA"/>
        </w:rPr>
        <w:t>"</w:t>
      </w:r>
      <w:r w:rsidRPr="00720DC2">
        <w:rPr>
          <w:rFonts w:eastAsia="Arial Unicode MS" w:cs="Arial Unicode MS"/>
          <w:color w:val="000000"/>
          <w:lang w:val="uk-UA"/>
        </w:rPr>
        <w:t>Лімниця</w:t>
      </w:r>
      <w:r w:rsidR="00D4778A" w:rsidRPr="00720DC2">
        <w:rPr>
          <w:rFonts w:eastAsia="Arial Unicode MS" w:cs="Arial Unicode MS"/>
          <w:color w:val="000000"/>
          <w:lang w:val="uk-UA"/>
        </w:rPr>
        <w:t>"</w:t>
      </w:r>
      <w:r w:rsidRPr="00720DC2">
        <w:rPr>
          <w:rFonts w:eastAsia="Arial Unicode MS" w:cs="Arial Unicode MS"/>
          <w:color w:val="000000"/>
          <w:lang w:val="uk-UA"/>
        </w:rPr>
        <w:t xml:space="preserve">, в період з 09.08.2018 року по 29.08.2018 року оздоровлено 20 дітей з малозабезпечених, багатодітних сімей, дітей, які є внутрішньо переміщеними, та дітей, батьки яких брали участь в АТО. </w:t>
      </w:r>
    </w:p>
    <w:p w:rsidR="00183E22" w:rsidRPr="00720DC2" w:rsidRDefault="00183E22" w:rsidP="00183E22">
      <w:pPr>
        <w:tabs>
          <w:tab w:val="left" w:pos="709"/>
          <w:tab w:val="left" w:pos="3432"/>
        </w:tabs>
        <w:jc w:val="both"/>
        <w:rPr>
          <w:rFonts w:eastAsia="Arial Unicode MS" w:cs="Arial Unicode MS"/>
          <w:color w:val="000000"/>
          <w:lang w:val="uk-UA"/>
        </w:rPr>
      </w:pPr>
      <w:r w:rsidRPr="00720DC2">
        <w:rPr>
          <w:rFonts w:eastAsia="Arial Unicode MS" w:cs="Arial Unicode MS"/>
          <w:color w:val="000000"/>
          <w:lang w:val="uk-UA"/>
        </w:rPr>
        <w:tab/>
        <w:t xml:space="preserve">На виконання рішення виконавчого комітету міської ради №949 від 05.09.2018 року </w:t>
      </w:r>
      <w:r w:rsidR="00D4778A" w:rsidRPr="00720DC2">
        <w:rPr>
          <w:rFonts w:eastAsia="Arial Unicode MS" w:cs="Arial Unicode MS"/>
          <w:color w:val="000000"/>
          <w:lang w:val="uk-UA"/>
        </w:rPr>
        <w:t>"</w:t>
      </w:r>
      <w:r w:rsidRPr="00720DC2">
        <w:rPr>
          <w:rFonts w:eastAsia="Arial Unicode MS" w:cs="Arial Unicode MS"/>
          <w:color w:val="000000"/>
          <w:lang w:val="uk-UA"/>
        </w:rPr>
        <w:t>Про проведення заходів з відпочинку осіб похилого віку</w:t>
      </w:r>
      <w:r w:rsidR="00D4778A" w:rsidRPr="00720DC2">
        <w:rPr>
          <w:rFonts w:eastAsia="Arial Unicode MS" w:cs="Arial Unicode MS"/>
          <w:color w:val="000000"/>
          <w:lang w:val="uk-UA"/>
        </w:rPr>
        <w:t>"</w:t>
      </w:r>
      <w:r w:rsidRPr="00720DC2">
        <w:rPr>
          <w:rFonts w:eastAsia="Arial Unicode MS" w:cs="Arial Unicode MS"/>
          <w:color w:val="000000"/>
          <w:lang w:val="uk-UA"/>
        </w:rPr>
        <w:t xml:space="preserve"> спільно із позаміським закладом оздоровлення та відпочинку </w:t>
      </w:r>
      <w:r w:rsidR="00D4778A" w:rsidRPr="00720DC2">
        <w:rPr>
          <w:rFonts w:eastAsia="Arial Unicode MS" w:cs="Arial Unicode MS"/>
          <w:color w:val="000000"/>
          <w:lang w:val="uk-UA"/>
        </w:rPr>
        <w:t>"</w:t>
      </w:r>
      <w:r w:rsidRPr="00720DC2">
        <w:rPr>
          <w:rFonts w:eastAsia="Arial Unicode MS" w:cs="Arial Unicode MS"/>
          <w:color w:val="000000"/>
          <w:lang w:val="uk-UA"/>
        </w:rPr>
        <w:t>Лімниця</w:t>
      </w:r>
      <w:r w:rsidR="00D4778A" w:rsidRPr="00720DC2">
        <w:rPr>
          <w:rFonts w:eastAsia="Arial Unicode MS" w:cs="Arial Unicode MS"/>
          <w:color w:val="000000"/>
          <w:lang w:val="uk-UA"/>
        </w:rPr>
        <w:t>"</w:t>
      </w:r>
      <w:r w:rsidRPr="00720DC2">
        <w:rPr>
          <w:rFonts w:eastAsia="Arial Unicode MS" w:cs="Arial Unicode MS"/>
          <w:color w:val="000000"/>
          <w:lang w:val="uk-UA"/>
        </w:rPr>
        <w:t xml:space="preserve"> в період з 17.09.2018 року по 11.10.2018 року проведено організацію відпочинку  127  осіб похилого віку. </w:t>
      </w:r>
    </w:p>
    <w:p w:rsidR="00183E22" w:rsidRPr="00720DC2" w:rsidRDefault="00183E22" w:rsidP="00183E22">
      <w:pPr>
        <w:ind w:firstLine="708"/>
        <w:jc w:val="both"/>
        <w:rPr>
          <w:lang w:val="uk-UA"/>
        </w:rPr>
      </w:pPr>
      <w:r w:rsidRPr="00720DC2">
        <w:rPr>
          <w:lang w:val="uk-UA"/>
        </w:rPr>
        <w:lastRenderedPageBreak/>
        <w:t xml:space="preserve">Відповідно до Програми особи, які постраждали внаслідок аварії на ЧАЕС  мають право на відшкодування вартості </w:t>
      </w:r>
      <w:r w:rsidRPr="00720DC2">
        <w:rPr>
          <w:color w:val="333333"/>
          <w:lang w:val="uk-UA"/>
        </w:rPr>
        <w:t>п</w:t>
      </w:r>
      <w:r w:rsidRPr="00720DC2">
        <w:rPr>
          <w:lang w:val="uk-UA"/>
        </w:rPr>
        <w:t xml:space="preserve">роїзду один раз на рік до будь-якого пункту України і назад автомобільним повітряним, або  залізничним, або  водним транспортом. </w:t>
      </w:r>
      <w:r w:rsidR="00361F1E" w:rsidRPr="00720DC2">
        <w:rPr>
          <w:lang w:val="uk-UA"/>
        </w:rPr>
        <w:t>Протягом року</w:t>
      </w:r>
      <w:r w:rsidRPr="00720DC2">
        <w:rPr>
          <w:lang w:val="uk-UA"/>
        </w:rPr>
        <w:t xml:space="preserve"> відшкодовано вартість квитків </w:t>
      </w:r>
      <w:r w:rsidR="00361F1E" w:rsidRPr="00720DC2">
        <w:rPr>
          <w:lang w:val="uk-UA"/>
        </w:rPr>
        <w:t>29</w:t>
      </w:r>
      <w:r w:rsidRPr="00720DC2">
        <w:rPr>
          <w:lang w:val="uk-UA"/>
        </w:rPr>
        <w:t xml:space="preserve"> особам на суму </w:t>
      </w:r>
      <w:r w:rsidR="00361F1E" w:rsidRPr="00720DC2">
        <w:rPr>
          <w:lang w:val="uk-UA"/>
        </w:rPr>
        <w:t>21,9 млн</w:t>
      </w:r>
      <w:r w:rsidR="00F76A6D">
        <w:rPr>
          <w:lang w:val="uk-UA"/>
        </w:rPr>
        <w:t xml:space="preserve"> </w:t>
      </w:r>
      <w:r w:rsidRPr="00720DC2">
        <w:rPr>
          <w:lang w:val="uk-UA"/>
        </w:rPr>
        <w:t>грн.</w:t>
      </w:r>
    </w:p>
    <w:p w:rsidR="00183E22" w:rsidRPr="00720DC2" w:rsidRDefault="00183E22" w:rsidP="00183E22">
      <w:pPr>
        <w:ind w:firstLine="708"/>
        <w:jc w:val="both"/>
        <w:rPr>
          <w:lang w:val="uk-UA"/>
        </w:rPr>
      </w:pPr>
      <w:r w:rsidRPr="00720DC2">
        <w:rPr>
          <w:lang w:val="uk-UA"/>
        </w:rPr>
        <w:t>Станом на 01.0</w:t>
      </w:r>
      <w:r w:rsidR="00810425" w:rsidRPr="00720DC2">
        <w:rPr>
          <w:lang w:val="uk-UA"/>
        </w:rPr>
        <w:t>1</w:t>
      </w:r>
      <w:r w:rsidRPr="00720DC2">
        <w:rPr>
          <w:lang w:val="uk-UA"/>
        </w:rPr>
        <w:t>.201</w:t>
      </w:r>
      <w:r w:rsidR="00810425" w:rsidRPr="00720DC2">
        <w:rPr>
          <w:lang w:val="uk-UA"/>
        </w:rPr>
        <w:t>9</w:t>
      </w:r>
      <w:r w:rsidRPr="00720DC2">
        <w:rPr>
          <w:lang w:val="uk-UA"/>
        </w:rPr>
        <w:t xml:space="preserve"> року відшкодовано витрати за безкоштовне перевезення пільгових категорій населення у міському електро- та автотранспорті, спеціальні пасажирські перевезення до садово-городніх масивів та кладовища, що фінансуються за рахунок коштів мі</w:t>
      </w:r>
      <w:r w:rsidR="00F76A6D">
        <w:rPr>
          <w:lang w:val="uk-UA"/>
        </w:rPr>
        <w:t xml:space="preserve">ського бюджету, у сумі 11,7 млн </w:t>
      </w:r>
      <w:r w:rsidRPr="00720DC2">
        <w:rPr>
          <w:lang w:val="uk-UA"/>
        </w:rPr>
        <w:t>грн.</w:t>
      </w:r>
    </w:p>
    <w:p w:rsidR="00183E22" w:rsidRPr="00720DC2" w:rsidRDefault="00183E22" w:rsidP="00183E22">
      <w:pPr>
        <w:suppressAutoHyphens/>
        <w:ind w:firstLine="709"/>
        <w:jc w:val="both"/>
        <w:rPr>
          <w:lang w:val="uk-UA"/>
        </w:rPr>
      </w:pPr>
      <w:r w:rsidRPr="00720DC2">
        <w:rPr>
          <w:szCs w:val="24"/>
          <w:lang w:val="uk-UA" w:eastAsia="zh-CN"/>
        </w:rPr>
        <w:t xml:space="preserve">На виконання рішення виконавчого комітету Івано-Франківської міської ради від </w:t>
      </w:r>
      <w:r w:rsidRPr="00720DC2">
        <w:rPr>
          <w:color w:val="000000"/>
          <w:szCs w:val="24"/>
          <w:lang w:val="uk-UA" w:eastAsia="zh-CN"/>
        </w:rPr>
        <w:t xml:space="preserve">01.03.2018р.  №214 </w:t>
      </w:r>
      <w:r w:rsidR="00D4778A" w:rsidRPr="00720DC2">
        <w:rPr>
          <w:color w:val="000000"/>
          <w:szCs w:val="24"/>
          <w:lang w:val="uk-UA" w:eastAsia="zh-CN"/>
        </w:rPr>
        <w:t>"</w:t>
      </w:r>
      <w:r w:rsidRPr="00720DC2">
        <w:rPr>
          <w:rFonts w:eastAsia="TimesNewRomanOOEnc"/>
          <w:szCs w:val="24"/>
          <w:lang w:val="uk-UA" w:eastAsia="zh-CN"/>
        </w:rPr>
        <w:t xml:space="preserve">Про затвердження Положення про багатофункціональну електронну картку </w:t>
      </w:r>
      <w:r w:rsidR="00D4778A" w:rsidRPr="00720DC2">
        <w:rPr>
          <w:rFonts w:eastAsia="TimesNewRomanOOEnc"/>
          <w:szCs w:val="24"/>
          <w:lang w:val="uk-UA" w:eastAsia="zh-CN"/>
        </w:rPr>
        <w:t>"</w:t>
      </w:r>
      <w:r w:rsidRPr="00720DC2">
        <w:rPr>
          <w:rFonts w:eastAsia="TimesNewRomanOOEnc"/>
          <w:szCs w:val="24"/>
          <w:lang w:val="uk-UA" w:eastAsia="zh-CN"/>
        </w:rPr>
        <w:t>Картка іванофранківця</w:t>
      </w:r>
      <w:r w:rsidR="00D4778A" w:rsidRPr="00720DC2">
        <w:rPr>
          <w:rFonts w:eastAsia="TimesNewRomanOOEnc"/>
          <w:szCs w:val="24"/>
          <w:lang w:val="uk-UA" w:eastAsia="zh-CN"/>
        </w:rPr>
        <w:t>"</w:t>
      </w:r>
      <w:r w:rsidRPr="00720DC2">
        <w:rPr>
          <w:rFonts w:eastAsia="TimesNewRomanOOEnc"/>
          <w:szCs w:val="24"/>
          <w:lang w:val="uk-UA" w:eastAsia="zh-CN"/>
        </w:rPr>
        <w:t xml:space="preserve"> в новій редакції</w:t>
      </w:r>
      <w:r w:rsidR="00D4778A" w:rsidRPr="00720DC2">
        <w:rPr>
          <w:rFonts w:eastAsia="TimesNewRomanOOEnc"/>
          <w:szCs w:val="24"/>
          <w:lang w:val="uk-UA" w:eastAsia="zh-CN"/>
        </w:rPr>
        <w:t>"</w:t>
      </w:r>
      <w:r w:rsidRPr="00720DC2">
        <w:rPr>
          <w:rFonts w:eastAsia="TimesNewRomanOOEnc"/>
          <w:szCs w:val="24"/>
          <w:lang w:val="uk-UA" w:eastAsia="zh-CN"/>
        </w:rPr>
        <w:t xml:space="preserve"> сформовано список осіб, мешканців міста Івано-Франківська та сіл Івано-Франківської міської ради (Крихівці, Микитинці, Угорники, Хриплин, Вовчинець), які отримують пенсію та мають право на пільговий проїзд в громадському транспорті. </w:t>
      </w:r>
      <w:r w:rsidR="00C5383C">
        <w:rPr>
          <w:lang w:val="uk-UA"/>
        </w:rPr>
        <w:t>Протя</w:t>
      </w:r>
      <w:r w:rsidR="00810425" w:rsidRPr="00720DC2">
        <w:rPr>
          <w:lang w:val="uk-UA"/>
        </w:rPr>
        <w:t>гом 2018</w:t>
      </w:r>
      <w:r w:rsidRPr="00720DC2">
        <w:rPr>
          <w:lang w:val="uk-UA"/>
        </w:rPr>
        <w:t xml:space="preserve"> року мешканцям видано 59610 карток. </w:t>
      </w:r>
      <w:r w:rsidRPr="00720DC2">
        <w:rPr>
          <w:rFonts w:eastAsia="TimesNewRomanOOEnc"/>
          <w:szCs w:val="24"/>
          <w:lang w:val="uk-UA" w:eastAsia="zh-CN"/>
        </w:rPr>
        <w:t xml:space="preserve">На даний час створений </w:t>
      </w:r>
      <w:r w:rsidRPr="00720DC2">
        <w:rPr>
          <w:szCs w:val="24"/>
          <w:lang w:val="uk-UA" w:eastAsia="zh-CN"/>
        </w:rPr>
        <w:t xml:space="preserve">Єдиний соціальний реєстр міста Івано-Франківська (ЄСР) - міський інформаційний ресурс, що містить персональну інформацію про громадян, які мають право на отримання пільг та доплат, соціального дисконту тощо, для отримання електронного квитка. </w:t>
      </w:r>
    </w:p>
    <w:p w:rsidR="00183E22" w:rsidRPr="00720DC2" w:rsidRDefault="00183E22" w:rsidP="00183E22">
      <w:pPr>
        <w:ind w:firstLine="700"/>
        <w:jc w:val="both"/>
        <w:rPr>
          <w:lang w:val="uk-UA"/>
        </w:rPr>
      </w:pPr>
      <w:r w:rsidRPr="00720DC2">
        <w:rPr>
          <w:lang w:val="uk-UA"/>
        </w:rPr>
        <w:t xml:space="preserve">За наданням послуги </w:t>
      </w:r>
      <w:r w:rsidR="00D4778A" w:rsidRPr="00720DC2">
        <w:rPr>
          <w:lang w:val="uk-UA"/>
        </w:rPr>
        <w:t>"</w:t>
      </w:r>
      <w:r w:rsidRPr="00720DC2">
        <w:rPr>
          <w:lang w:val="uk-UA"/>
        </w:rPr>
        <w:t>Соціальне таксі</w:t>
      </w:r>
      <w:r w:rsidR="00D4778A" w:rsidRPr="00720DC2">
        <w:rPr>
          <w:lang w:val="uk-UA"/>
        </w:rPr>
        <w:t>"</w:t>
      </w:r>
      <w:r w:rsidRPr="00720DC2">
        <w:rPr>
          <w:lang w:val="uk-UA"/>
        </w:rPr>
        <w:t xml:space="preserve"> до Івано-Франківського територіального центру соціального обслуговування (надання соціальних послуг) звернулося 50 осіб, яким надано 209</w:t>
      </w:r>
      <w:r w:rsidRPr="00720DC2">
        <w:rPr>
          <w:szCs w:val="36"/>
          <w:lang w:val="uk-UA"/>
        </w:rPr>
        <w:t xml:space="preserve"> </w:t>
      </w:r>
      <w:r w:rsidRPr="00720DC2">
        <w:rPr>
          <w:lang w:val="uk-UA"/>
        </w:rPr>
        <w:t>послуг.</w:t>
      </w:r>
    </w:p>
    <w:p w:rsidR="00183E22" w:rsidRPr="00720DC2" w:rsidRDefault="00183E22" w:rsidP="00183E22">
      <w:pPr>
        <w:jc w:val="both"/>
        <w:rPr>
          <w:highlight w:val="yellow"/>
          <w:lang w:val="uk-UA"/>
        </w:rPr>
      </w:pPr>
    </w:p>
    <w:p w:rsidR="00183E22" w:rsidRPr="00720DC2" w:rsidRDefault="00D408C3" w:rsidP="0002754B">
      <w:pPr>
        <w:pStyle w:val="a7"/>
        <w:tabs>
          <w:tab w:val="left" w:pos="993"/>
        </w:tabs>
        <w:spacing w:after="0"/>
        <w:ind w:left="0" w:firstLine="709"/>
        <w:jc w:val="both"/>
        <w:outlineLvl w:val="0"/>
        <w:rPr>
          <w:i/>
          <w:sz w:val="28"/>
          <w:szCs w:val="28"/>
          <w:lang w:val="uk-UA"/>
        </w:rPr>
      </w:pPr>
      <w:r w:rsidRPr="00D408C3">
        <w:rPr>
          <w:i/>
          <w:sz w:val="28"/>
          <w:szCs w:val="28"/>
          <w:lang w:val="uk-UA"/>
        </w:rPr>
        <w:t>5.</w:t>
      </w:r>
      <w:r>
        <w:rPr>
          <w:i/>
          <w:sz w:val="28"/>
          <w:szCs w:val="28"/>
          <w:lang w:val="uk-UA"/>
        </w:rPr>
        <w:t xml:space="preserve"> </w:t>
      </w:r>
      <w:r w:rsidR="00183E22" w:rsidRPr="00720DC2">
        <w:rPr>
          <w:i/>
          <w:sz w:val="28"/>
          <w:szCs w:val="28"/>
          <w:lang w:val="uk-UA"/>
        </w:rPr>
        <w:t>Охорона навколишнього природного середовища та цивільний захист населення на території міста Івано-Франківська від надзвичайних ситуацій природного і техногенного характеру</w:t>
      </w:r>
    </w:p>
    <w:p w:rsidR="006253FF" w:rsidRPr="00720DC2" w:rsidRDefault="00183E22" w:rsidP="006253FF">
      <w:pPr>
        <w:pStyle w:val="16"/>
        <w:spacing w:after="0" w:line="240" w:lineRule="auto"/>
        <w:ind w:left="0"/>
        <w:jc w:val="both"/>
        <w:rPr>
          <w:rFonts w:ascii="Times New Roman" w:hAnsi="Times New Roman" w:cs="Times New Roman"/>
          <w:sz w:val="28"/>
          <w:szCs w:val="28"/>
          <w:lang w:val="uk-UA"/>
        </w:rPr>
      </w:pPr>
      <w:r w:rsidRPr="00720DC2">
        <w:rPr>
          <w:sz w:val="28"/>
          <w:szCs w:val="28"/>
          <w:lang w:val="uk-UA"/>
        </w:rPr>
        <w:tab/>
      </w:r>
      <w:r w:rsidR="006253FF" w:rsidRPr="00720DC2">
        <w:rPr>
          <w:rFonts w:ascii="Times New Roman" w:hAnsi="Times New Roman" w:cs="Times New Roman"/>
          <w:sz w:val="28"/>
          <w:szCs w:val="28"/>
          <w:lang w:val="uk-UA"/>
        </w:rPr>
        <w:t>Внаслідок проливних дощів у липні 2018 року, на річці Бистриця Надвірнянська в районі села Угорники створилася загроза прориву дамби. Для укріплення дамби завезено 66 тонн піску та 120 тонн великогабаритного каменю. Завдяки своєчасно вжитим заходам процес руйнації дамби було зупинено.</w:t>
      </w:r>
    </w:p>
    <w:p w:rsidR="006253FF" w:rsidRPr="00720DC2" w:rsidRDefault="006253FF" w:rsidP="006253FF">
      <w:pPr>
        <w:pStyle w:val="16"/>
        <w:spacing w:after="0" w:line="240" w:lineRule="auto"/>
        <w:ind w:left="0" w:firstLine="708"/>
        <w:jc w:val="both"/>
        <w:rPr>
          <w:rFonts w:ascii="Times New Roman" w:hAnsi="Times New Roman" w:cs="Times New Roman"/>
          <w:sz w:val="28"/>
          <w:szCs w:val="28"/>
          <w:lang w:val="uk-UA"/>
        </w:rPr>
      </w:pPr>
      <w:r w:rsidRPr="00720DC2">
        <w:rPr>
          <w:rFonts w:ascii="Times New Roman" w:hAnsi="Times New Roman" w:cs="Times New Roman"/>
          <w:sz w:val="28"/>
          <w:szCs w:val="28"/>
          <w:lang w:val="uk-UA"/>
        </w:rPr>
        <w:t xml:space="preserve">Відповідно до рішення виконавчого комітету від 13.08.2015 року № 435 </w:t>
      </w:r>
      <w:r w:rsidR="00D4778A" w:rsidRPr="00720DC2">
        <w:rPr>
          <w:rFonts w:ascii="Times New Roman" w:hAnsi="Times New Roman" w:cs="Times New Roman"/>
          <w:sz w:val="28"/>
          <w:szCs w:val="28"/>
          <w:lang w:val="uk-UA"/>
        </w:rPr>
        <w:t>"</w:t>
      </w:r>
      <w:r w:rsidRPr="00720DC2">
        <w:rPr>
          <w:rFonts w:ascii="Times New Roman" w:hAnsi="Times New Roman" w:cs="Times New Roman"/>
          <w:sz w:val="28"/>
          <w:szCs w:val="28"/>
          <w:lang w:val="uk-UA"/>
        </w:rPr>
        <w:t>Про визначення місця тимчасового зберігання хімічно - небезпечних ртутних відходів на території м. Івано-Франківська</w:t>
      </w:r>
      <w:r w:rsidR="00D4778A" w:rsidRPr="00720DC2">
        <w:rPr>
          <w:rFonts w:ascii="Times New Roman" w:hAnsi="Times New Roman" w:cs="Times New Roman"/>
          <w:sz w:val="28"/>
          <w:szCs w:val="28"/>
          <w:lang w:val="uk-UA"/>
        </w:rPr>
        <w:t>"</w:t>
      </w:r>
      <w:r w:rsidRPr="00720DC2">
        <w:rPr>
          <w:rFonts w:ascii="Times New Roman" w:hAnsi="Times New Roman" w:cs="Times New Roman"/>
          <w:sz w:val="28"/>
          <w:szCs w:val="28"/>
          <w:lang w:val="uk-UA"/>
        </w:rPr>
        <w:t xml:space="preserve"> протягом 2018 року здійснювався прийом ртуті та ртутних відходів, люмінесцентних ламп від мешканців міста та забезпечувався їх вивіз на утилізацію за межі області. Зібрано 24 кг ртутних відходів, 2,6 тис.шт. люмінесцентних ламп та 188 кг використаних батарейок</w:t>
      </w:r>
      <w:r w:rsidR="00FB47E8">
        <w:rPr>
          <w:rFonts w:ascii="Times New Roman" w:hAnsi="Times New Roman" w:cs="Times New Roman"/>
          <w:sz w:val="28"/>
          <w:szCs w:val="28"/>
          <w:lang w:val="uk-UA"/>
        </w:rPr>
        <w:t>.</w:t>
      </w:r>
      <w:r w:rsidRPr="00720DC2">
        <w:rPr>
          <w:rFonts w:ascii="Times New Roman" w:hAnsi="Times New Roman" w:cs="Times New Roman"/>
          <w:sz w:val="28"/>
          <w:szCs w:val="28"/>
          <w:lang w:val="uk-UA"/>
        </w:rPr>
        <w:t xml:space="preserve">  </w:t>
      </w:r>
      <w:r w:rsidR="00FB47E8">
        <w:rPr>
          <w:rFonts w:ascii="Times New Roman" w:hAnsi="Times New Roman" w:cs="Times New Roman"/>
          <w:sz w:val="28"/>
          <w:szCs w:val="28"/>
          <w:lang w:val="uk-UA"/>
        </w:rPr>
        <w:t>У 2018 році</w:t>
      </w:r>
      <w:r w:rsidR="00835A89">
        <w:rPr>
          <w:rFonts w:ascii="Times New Roman" w:hAnsi="Times New Roman" w:cs="Times New Roman"/>
          <w:sz w:val="28"/>
          <w:szCs w:val="28"/>
          <w:lang w:val="uk-UA"/>
        </w:rPr>
        <w:t xml:space="preserve"> </w:t>
      </w:r>
      <w:r w:rsidRPr="00720DC2">
        <w:rPr>
          <w:rFonts w:ascii="Times New Roman" w:hAnsi="Times New Roman" w:cs="Times New Roman"/>
          <w:sz w:val="28"/>
          <w:szCs w:val="28"/>
          <w:lang w:val="uk-UA"/>
        </w:rPr>
        <w:t>проведено 10 засідань міської комісії з питань техногенно-екологічної безпеки і надзвичайних ситуацій та розглянуто 11 планових і 14</w:t>
      </w:r>
      <w:r w:rsidRPr="00720DC2">
        <w:rPr>
          <w:rFonts w:ascii="Times New Roman" w:hAnsi="Times New Roman" w:cs="Times New Roman"/>
          <w:b/>
          <w:sz w:val="28"/>
          <w:szCs w:val="28"/>
          <w:lang w:val="uk-UA"/>
        </w:rPr>
        <w:t xml:space="preserve"> </w:t>
      </w:r>
      <w:r w:rsidRPr="00720DC2">
        <w:rPr>
          <w:rFonts w:ascii="Times New Roman" w:hAnsi="Times New Roman" w:cs="Times New Roman"/>
          <w:sz w:val="28"/>
          <w:szCs w:val="28"/>
          <w:lang w:val="uk-UA"/>
        </w:rPr>
        <w:t>позапланових питань.</w:t>
      </w:r>
    </w:p>
    <w:p w:rsidR="00A01DB3" w:rsidRPr="00720DC2" w:rsidRDefault="00A01DB3" w:rsidP="006253FF">
      <w:pPr>
        <w:pStyle w:val="16"/>
        <w:spacing w:after="0" w:line="240" w:lineRule="auto"/>
        <w:ind w:left="0"/>
        <w:jc w:val="both"/>
        <w:rPr>
          <w:rFonts w:ascii="Times New Roman" w:hAnsi="Times New Roman" w:cs="Times New Roman"/>
          <w:sz w:val="28"/>
          <w:szCs w:val="28"/>
          <w:lang w:val="uk-UA"/>
        </w:rPr>
      </w:pPr>
    </w:p>
    <w:p w:rsidR="00183E22" w:rsidRPr="00720DC2" w:rsidRDefault="00183E22" w:rsidP="006253FF">
      <w:pPr>
        <w:pStyle w:val="16"/>
        <w:spacing w:after="0" w:line="240" w:lineRule="auto"/>
        <w:ind w:left="0"/>
        <w:jc w:val="both"/>
        <w:rPr>
          <w:highlight w:val="yellow"/>
          <w:lang w:val="uk-UA"/>
        </w:rPr>
      </w:pPr>
      <w:r w:rsidRPr="00720DC2">
        <w:rPr>
          <w:rFonts w:ascii="Times New Roman" w:hAnsi="Times New Roman" w:cs="Times New Roman"/>
          <w:sz w:val="28"/>
          <w:szCs w:val="28"/>
          <w:lang w:val="uk-UA"/>
        </w:rPr>
        <w:tab/>
      </w:r>
    </w:p>
    <w:p w:rsidR="00183E22" w:rsidRPr="00720DC2" w:rsidRDefault="00183E22" w:rsidP="00183E22">
      <w:pPr>
        <w:rPr>
          <w:lang w:val="uk-UA"/>
        </w:rPr>
      </w:pPr>
      <w:r w:rsidRPr="00720DC2">
        <w:rPr>
          <w:lang w:val="uk-UA"/>
        </w:rPr>
        <w:t>Начальник управління економічного</w:t>
      </w:r>
    </w:p>
    <w:p w:rsidR="00183E22" w:rsidRPr="00720DC2" w:rsidRDefault="00183E22" w:rsidP="00183E22">
      <w:pPr>
        <w:rPr>
          <w:lang w:val="uk-UA"/>
        </w:rPr>
      </w:pPr>
      <w:r w:rsidRPr="00720DC2">
        <w:rPr>
          <w:lang w:val="uk-UA"/>
        </w:rPr>
        <w:t xml:space="preserve">та інтеграційного розвитку  </w:t>
      </w:r>
      <w:r w:rsidRPr="00720DC2">
        <w:rPr>
          <w:lang w:val="uk-UA"/>
        </w:rPr>
        <w:tab/>
      </w:r>
      <w:r w:rsidRPr="00720DC2">
        <w:rPr>
          <w:lang w:val="uk-UA"/>
        </w:rPr>
        <w:tab/>
      </w:r>
      <w:r w:rsidRPr="00720DC2">
        <w:rPr>
          <w:lang w:val="uk-UA"/>
        </w:rPr>
        <w:tab/>
      </w:r>
      <w:r w:rsidRPr="00720DC2">
        <w:rPr>
          <w:lang w:val="uk-UA"/>
        </w:rPr>
        <w:tab/>
      </w:r>
      <w:r w:rsidRPr="00720DC2">
        <w:rPr>
          <w:lang w:val="uk-UA"/>
        </w:rPr>
        <w:tab/>
        <w:t>Надія Кромкач</w:t>
      </w:r>
    </w:p>
    <w:p w:rsidR="008C3625" w:rsidRDefault="008C3625">
      <w:pPr>
        <w:rPr>
          <w:lang w:val="uk-UA"/>
        </w:rPr>
      </w:pPr>
    </w:p>
    <w:p w:rsidR="00D517D1" w:rsidRDefault="00D517D1" w:rsidP="00D517D1">
      <w:pPr>
        <w:ind w:left="5670"/>
        <w:rPr>
          <w:rFonts w:cs="Times New Roman"/>
        </w:rPr>
        <w:sectPr w:rsidR="00D517D1" w:rsidSect="00A6449A">
          <w:headerReference w:type="default" r:id="rId22"/>
          <w:headerReference w:type="first" r:id="rId23"/>
          <w:pgSz w:w="11906" w:h="16838"/>
          <w:pgMar w:top="709" w:right="567" w:bottom="567" w:left="1985" w:header="567" w:footer="397" w:gutter="0"/>
          <w:pgNumType w:start="1"/>
          <w:cols w:space="708"/>
          <w:titlePg/>
          <w:docGrid w:linePitch="381"/>
        </w:sectPr>
      </w:pPr>
    </w:p>
    <w:p w:rsidR="00D517D1" w:rsidRDefault="00D517D1" w:rsidP="00D517D1">
      <w:pPr>
        <w:ind w:left="11340"/>
        <w:rPr>
          <w:rFonts w:cs="Times New Roman"/>
        </w:rPr>
      </w:pPr>
      <w:r w:rsidRPr="00C02974">
        <w:rPr>
          <w:rFonts w:cs="Times New Roman"/>
        </w:rPr>
        <w:lastRenderedPageBreak/>
        <w:t>Додаток</w:t>
      </w:r>
      <w:r>
        <w:rPr>
          <w:rFonts w:cs="Times New Roman"/>
        </w:rPr>
        <w:t xml:space="preserve"> 1</w:t>
      </w:r>
    </w:p>
    <w:p w:rsidR="00D517D1" w:rsidRPr="00C02974" w:rsidRDefault="00D517D1" w:rsidP="00D517D1">
      <w:pPr>
        <w:ind w:left="11340"/>
        <w:rPr>
          <w:rFonts w:cs="Times New Roman"/>
        </w:rPr>
      </w:pPr>
      <w:r>
        <w:rPr>
          <w:rFonts w:cs="Times New Roman"/>
        </w:rPr>
        <w:t>до Інформації про виконання Програми економічного і соціального розвитку м.Івано-Франківська за 2018 рік</w:t>
      </w:r>
    </w:p>
    <w:p w:rsidR="00D517D1" w:rsidRDefault="00D517D1" w:rsidP="00D517D1">
      <w:r>
        <w:tab/>
      </w:r>
      <w:r>
        <w:tab/>
      </w:r>
      <w:r>
        <w:tab/>
      </w:r>
      <w:r>
        <w:tab/>
      </w:r>
      <w:r>
        <w:tab/>
      </w:r>
      <w:r>
        <w:tab/>
      </w:r>
      <w:r>
        <w:tab/>
      </w:r>
      <w:r>
        <w:tab/>
      </w:r>
      <w:r>
        <w:tab/>
      </w:r>
    </w:p>
    <w:p w:rsidR="00D517D1" w:rsidRDefault="00D517D1" w:rsidP="00D517D1"/>
    <w:p w:rsidR="00D517D1" w:rsidRPr="00C02974" w:rsidRDefault="00D517D1" w:rsidP="00D517D1">
      <w:pPr>
        <w:jc w:val="center"/>
        <w:rPr>
          <w:rFonts w:eastAsia="Times New Roman" w:cs="Times New Roman"/>
          <w:b/>
          <w:bCs/>
          <w:color w:val="000000"/>
          <w:sz w:val="24"/>
          <w:szCs w:val="24"/>
          <w:lang w:eastAsia="uk-UA"/>
        </w:rPr>
      </w:pPr>
      <w:r w:rsidRPr="00C02974">
        <w:rPr>
          <w:rFonts w:eastAsia="Times New Roman" w:cs="Times New Roman"/>
          <w:b/>
          <w:bCs/>
          <w:color w:val="000000"/>
          <w:sz w:val="24"/>
          <w:szCs w:val="24"/>
          <w:lang w:eastAsia="uk-UA"/>
        </w:rPr>
        <w:t>ОСНОВНІ ПОКАЗНИКИ ЕКОНОМ</w:t>
      </w:r>
      <w:r>
        <w:rPr>
          <w:rFonts w:eastAsia="Times New Roman" w:cs="Times New Roman"/>
          <w:b/>
          <w:bCs/>
          <w:color w:val="000000"/>
          <w:sz w:val="24"/>
          <w:szCs w:val="24"/>
          <w:lang w:eastAsia="uk-UA"/>
        </w:rPr>
        <w:t>ІЧНОГО  І СОЦІАЛЬНОГО РОЗВИТКУ</w:t>
      </w:r>
    </w:p>
    <w:p w:rsidR="00D517D1" w:rsidRPr="00C02974" w:rsidRDefault="00D517D1" w:rsidP="00D517D1">
      <w:pPr>
        <w:jc w:val="center"/>
        <w:rPr>
          <w:rFonts w:cs="Times New Roman"/>
        </w:rPr>
      </w:pPr>
      <w:r>
        <w:rPr>
          <w:rFonts w:cs="Times New Roman"/>
        </w:rPr>
        <w:t>м</w:t>
      </w:r>
      <w:r w:rsidRPr="00C02974">
        <w:rPr>
          <w:rFonts w:cs="Times New Roman"/>
        </w:rPr>
        <w:t>іста Івано-Франківська за 2018 рік</w:t>
      </w:r>
    </w:p>
    <w:p w:rsidR="00D517D1" w:rsidRDefault="00D517D1" w:rsidP="00D517D1"/>
    <w:tbl>
      <w:tblPr>
        <w:tblStyle w:val="af6"/>
        <w:tblW w:w="0" w:type="auto"/>
        <w:jc w:val="center"/>
        <w:tblLayout w:type="fixed"/>
        <w:tblLook w:val="04A0" w:firstRow="1" w:lastRow="0" w:firstColumn="1" w:lastColumn="0" w:noHBand="0" w:noVBand="1"/>
      </w:tblPr>
      <w:tblGrid>
        <w:gridCol w:w="4609"/>
        <w:gridCol w:w="1134"/>
        <w:gridCol w:w="1559"/>
        <w:gridCol w:w="1418"/>
        <w:gridCol w:w="1842"/>
        <w:gridCol w:w="1560"/>
        <w:gridCol w:w="1884"/>
      </w:tblGrid>
      <w:tr w:rsidR="00D517D1" w:rsidRPr="00D517D1" w:rsidTr="002E3F58">
        <w:trPr>
          <w:trHeight w:val="928"/>
          <w:tblHeader/>
          <w:jc w:val="center"/>
        </w:trPr>
        <w:tc>
          <w:tcPr>
            <w:tcW w:w="4609" w:type="dxa"/>
            <w:hideMark/>
          </w:tcPr>
          <w:p w:rsidR="00D517D1" w:rsidRPr="00D517D1" w:rsidRDefault="00D517D1" w:rsidP="00667AFF">
            <w:pPr>
              <w:jc w:val="center"/>
              <w:rPr>
                <w:rFonts w:cs="Times New Roman"/>
                <w:b/>
                <w:sz w:val="22"/>
                <w:szCs w:val="22"/>
              </w:rPr>
            </w:pPr>
            <w:r w:rsidRPr="00D517D1">
              <w:rPr>
                <w:rFonts w:cs="Times New Roman"/>
                <w:b/>
                <w:sz w:val="22"/>
                <w:szCs w:val="22"/>
              </w:rPr>
              <w:t>Показники</w:t>
            </w:r>
          </w:p>
        </w:tc>
        <w:tc>
          <w:tcPr>
            <w:tcW w:w="1134" w:type="dxa"/>
            <w:hideMark/>
          </w:tcPr>
          <w:p w:rsidR="00D517D1" w:rsidRPr="00D517D1" w:rsidRDefault="00D517D1" w:rsidP="00667AFF">
            <w:pPr>
              <w:jc w:val="center"/>
              <w:rPr>
                <w:rFonts w:cs="Times New Roman"/>
                <w:b/>
                <w:sz w:val="22"/>
                <w:szCs w:val="22"/>
              </w:rPr>
            </w:pPr>
            <w:r w:rsidRPr="00D517D1">
              <w:rPr>
                <w:rFonts w:cs="Times New Roman"/>
                <w:b/>
                <w:sz w:val="22"/>
                <w:szCs w:val="22"/>
              </w:rPr>
              <w:t>Одиниця виміру</w:t>
            </w:r>
          </w:p>
        </w:tc>
        <w:tc>
          <w:tcPr>
            <w:tcW w:w="1559" w:type="dxa"/>
            <w:hideMark/>
          </w:tcPr>
          <w:p w:rsidR="00D517D1" w:rsidRPr="00D517D1" w:rsidRDefault="00D517D1" w:rsidP="00667AFF">
            <w:pPr>
              <w:jc w:val="center"/>
              <w:rPr>
                <w:rFonts w:cs="Times New Roman"/>
                <w:b/>
                <w:sz w:val="22"/>
                <w:szCs w:val="22"/>
              </w:rPr>
            </w:pPr>
            <w:r w:rsidRPr="00D517D1">
              <w:rPr>
                <w:rFonts w:cs="Times New Roman"/>
                <w:b/>
                <w:sz w:val="22"/>
                <w:szCs w:val="22"/>
              </w:rPr>
              <w:t>2016 рік</w:t>
            </w:r>
          </w:p>
        </w:tc>
        <w:tc>
          <w:tcPr>
            <w:tcW w:w="1418" w:type="dxa"/>
            <w:hideMark/>
          </w:tcPr>
          <w:p w:rsidR="00D517D1" w:rsidRPr="00D517D1" w:rsidRDefault="00D517D1" w:rsidP="00667AFF">
            <w:pPr>
              <w:jc w:val="center"/>
              <w:rPr>
                <w:rFonts w:cs="Times New Roman"/>
                <w:b/>
                <w:sz w:val="22"/>
                <w:szCs w:val="22"/>
              </w:rPr>
            </w:pPr>
            <w:r w:rsidRPr="00D517D1">
              <w:rPr>
                <w:rFonts w:cs="Times New Roman"/>
                <w:b/>
                <w:sz w:val="22"/>
                <w:szCs w:val="22"/>
              </w:rPr>
              <w:t>2017 рік</w:t>
            </w:r>
          </w:p>
        </w:tc>
        <w:tc>
          <w:tcPr>
            <w:tcW w:w="1842" w:type="dxa"/>
            <w:hideMark/>
          </w:tcPr>
          <w:p w:rsidR="00D517D1" w:rsidRPr="00D517D1" w:rsidRDefault="00D517D1" w:rsidP="006B798A">
            <w:pPr>
              <w:jc w:val="center"/>
              <w:rPr>
                <w:rFonts w:cs="Times New Roman"/>
                <w:b/>
                <w:sz w:val="22"/>
                <w:szCs w:val="22"/>
              </w:rPr>
            </w:pPr>
            <w:r w:rsidRPr="00D517D1">
              <w:rPr>
                <w:rFonts w:cs="Times New Roman"/>
                <w:b/>
                <w:sz w:val="22"/>
                <w:szCs w:val="22"/>
              </w:rPr>
              <w:t>2018 рік прогноз згідно з Програмою</w:t>
            </w:r>
          </w:p>
        </w:tc>
        <w:tc>
          <w:tcPr>
            <w:tcW w:w="1560" w:type="dxa"/>
            <w:hideMark/>
          </w:tcPr>
          <w:p w:rsidR="00F3567C" w:rsidRDefault="00D517D1" w:rsidP="00D517D1">
            <w:pPr>
              <w:jc w:val="center"/>
              <w:rPr>
                <w:rFonts w:cs="Times New Roman"/>
                <w:b/>
                <w:sz w:val="22"/>
                <w:szCs w:val="22"/>
                <w:lang w:val="uk-UA"/>
              </w:rPr>
            </w:pPr>
            <w:r w:rsidRPr="00D517D1">
              <w:rPr>
                <w:rFonts w:cs="Times New Roman"/>
                <w:b/>
                <w:sz w:val="22"/>
                <w:szCs w:val="22"/>
              </w:rPr>
              <w:t>2018 рік</w:t>
            </w:r>
          </w:p>
          <w:p w:rsidR="00D517D1" w:rsidRPr="00D517D1" w:rsidRDefault="00F3567C" w:rsidP="00D517D1">
            <w:pPr>
              <w:jc w:val="center"/>
              <w:rPr>
                <w:rFonts w:cs="Times New Roman"/>
                <w:b/>
                <w:sz w:val="22"/>
                <w:szCs w:val="22"/>
              </w:rPr>
            </w:pPr>
            <w:r>
              <w:rPr>
                <w:rFonts w:cs="Times New Roman"/>
                <w:b/>
                <w:sz w:val="22"/>
                <w:szCs w:val="22"/>
                <w:lang w:val="uk-UA"/>
              </w:rPr>
              <w:t>факт</w:t>
            </w:r>
            <w:r w:rsidR="00D517D1" w:rsidRPr="00D517D1">
              <w:rPr>
                <w:rFonts w:cs="Times New Roman"/>
                <w:b/>
                <w:sz w:val="22"/>
                <w:szCs w:val="22"/>
              </w:rPr>
              <w:t xml:space="preserve"> </w:t>
            </w:r>
          </w:p>
        </w:tc>
        <w:tc>
          <w:tcPr>
            <w:tcW w:w="1884" w:type="dxa"/>
            <w:hideMark/>
          </w:tcPr>
          <w:p w:rsidR="00D517D1" w:rsidRPr="00BF282C" w:rsidRDefault="00D517D1" w:rsidP="005D66C2">
            <w:pPr>
              <w:jc w:val="center"/>
              <w:rPr>
                <w:rFonts w:cs="Times New Roman"/>
                <w:b/>
                <w:sz w:val="22"/>
                <w:szCs w:val="22"/>
                <w:lang w:val="uk-UA"/>
              </w:rPr>
            </w:pPr>
            <w:r w:rsidRPr="00D517D1">
              <w:rPr>
                <w:rFonts w:cs="Times New Roman"/>
                <w:b/>
                <w:sz w:val="22"/>
                <w:szCs w:val="22"/>
              </w:rPr>
              <w:t>% виконання Програми</w:t>
            </w:r>
            <w:r w:rsidR="00BF282C">
              <w:rPr>
                <w:rFonts w:cs="Times New Roman"/>
                <w:b/>
                <w:sz w:val="22"/>
                <w:szCs w:val="22"/>
                <w:lang w:val="uk-UA"/>
              </w:rPr>
              <w:t xml:space="preserve"> </w:t>
            </w:r>
            <w:r w:rsidR="00BF282C" w:rsidRPr="00BF282C">
              <w:rPr>
                <w:rFonts w:cs="Times New Roman"/>
                <w:sz w:val="22"/>
                <w:szCs w:val="22"/>
                <w:lang w:val="uk-UA"/>
              </w:rPr>
              <w:t xml:space="preserve">(2018р. факт </w:t>
            </w:r>
            <w:r w:rsidR="005D66C2">
              <w:rPr>
                <w:rFonts w:cs="Times New Roman"/>
                <w:sz w:val="22"/>
                <w:szCs w:val="22"/>
                <w:lang w:val="uk-UA"/>
              </w:rPr>
              <w:t>/</w:t>
            </w:r>
            <w:r w:rsidR="00BF282C" w:rsidRPr="00BF282C">
              <w:rPr>
                <w:rFonts w:cs="Times New Roman"/>
                <w:sz w:val="22"/>
                <w:szCs w:val="22"/>
                <w:lang w:val="uk-UA"/>
              </w:rPr>
              <w:t xml:space="preserve"> 2018р. прогноз)</w:t>
            </w:r>
          </w:p>
        </w:tc>
      </w:tr>
      <w:tr w:rsidR="006B798A" w:rsidRPr="00C02974" w:rsidTr="002E3F58">
        <w:trPr>
          <w:trHeight w:val="332"/>
          <w:jc w:val="center"/>
        </w:trPr>
        <w:tc>
          <w:tcPr>
            <w:tcW w:w="14006" w:type="dxa"/>
            <w:gridSpan w:val="7"/>
            <w:vAlign w:val="center"/>
            <w:hideMark/>
          </w:tcPr>
          <w:p w:rsidR="006B798A" w:rsidRPr="006B798A" w:rsidRDefault="006B798A" w:rsidP="006B798A">
            <w:pPr>
              <w:jc w:val="center"/>
              <w:rPr>
                <w:rFonts w:cs="Times New Roman"/>
                <w:b/>
                <w:bCs/>
                <w:sz w:val="22"/>
                <w:szCs w:val="22"/>
                <w:u w:val="single"/>
                <w:lang w:val="uk-UA"/>
              </w:rPr>
            </w:pPr>
            <w:r w:rsidRPr="00C02974">
              <w:rPr>
                <w:rFonts w:cs="Times New Roman"/>
                <w:b/>
                <w:bCs/>
                <w:sz w:val="22"/>
                <w:szCs w:val="22"/>
                <w:u w:val="single"/>
              </w:rPr>
              <w:t>ПРОМИСЛОВІСТЬ</w:t>
            </w:r>
          </w:p>
        </w:tc>
      </w:tr>
      <w:tr w:rsidR="00D517D1" w:rsidRPr="00C02974" w:rsidTr="002E3F58">
        <w:trPr>
          <w:trHeight w:val="551"/>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реалізованої промислової продукції  (товарів, послуг), всього</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грн.</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10 365 520,7</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10 914 278,1</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11 225 713,8</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13 648 461,1</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121,6%</w:t>
            </w:r>
          </w:p>
        </w:tc>
      </w:tr>
      <w:tr w:rsidR="00D517D1" w:rsidRPr="00C02974" w:rsidTr="002E3F58">
        <w:trPr>
          <w:trHeight w:val="558"/>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реалізованої промислової продукції (товарів, послуг) у розрахунку на одну особу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40 966,4</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42 632,4</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43 679,8</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53 312,4</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122,1%</w:t>
            </w:r>
          </w:p>
        </w:tc>
      </w:tr>
      <w:tr w:rsidR="00D517D1" w:rsidRPr="00C02974" w:rsidTr="002E3F58">
        <w:trPr>
          <w:trHeight w:val="712"/>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Темп зростання (зменшення) обсягу реалізованої промислової продукції, відсотків до відповідного періоду минулого року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96,5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105,3</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106,8</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121,6</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6B798A" w:rsidRPr="00C02974" w:rsidTr="002E3F58">
        <w:trPr>
          <w:trHeight w:val="486"/>
          <w:jc w:val="center"/>
        </w:trPr>
        <w:tc>
          <w:tcPr>
            <w:tcW w:w="14006" w:type="dxa"/>
            <w:gridSpan w:val="7"/>
            <w:vAlign w:val="center"/>
            <w:hideMark/>
          </w:tcPr>
          <w:p w:rsidR="006B798A" w:rsidRPr="00C02974" w:rsidRDefault="006B798A" w:rsidP="006B798A">
            <w:pPr>
              <w:jc w:val="center"/>
              <w:rPr>
                <w:rFonts w:cs="Times New Roman"/>
                <w:sz w:val="22"/>
                <w:szCs w:val="22"/>
              </w:rPr>
            </w:pPr>
            <w:r w:rsidRPr="00C02974">
              <w:rPr>
                <w:rFonts w:cs="Times New Roman"/>
                <w:b/>
                <w:bCs/>
                <w:sz w:val="22"/>
                <w:szCs w:val="22"/>
                <w:u w:val="single"/>
              </w:rPr>
              <w:t>ФІНАНСОВІ  ПОКАЗНИКИ</w:t>
            </w:r>
          </w:p>
        </w:tc>
      </w:tr>
      <w:tr w:rsidR="00D517D1" w:rsidRPr="00C02974" w:rsidTr="002E3F58">
        <w:trPr>
          <w:trHeight w:val="550"/>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 xml:space="preserve">Доходи місцевих бюджетів   (без трансфертів з держбюджету) </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1 004 314,8</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1 367 781,5</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1 429 840,0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1 633 005,3</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114,2%</w:t>
            </w:r>
          </w:p>
        </w:tc>
      </w:tr>
      <w:tr w:rsidR="00D517D1" w:rsidRPr="00C02974" w:rsidTr="002E3F58">
        <w:trPr>
          <w:trHeight w:val="275"/>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в т.ч.</w:t>
            </w:r>
          </w:p>
        </w:tc>
        <w:tc>
          <w:tcPr>
            <w:tcW w:w="1134" w:type="dxa"/>
            <w:vAlign w:val="center"/>
            <w:hideMark/>
          </w:tcPr>
          <w:p w:rsidR="00D517D1" w:rsidRPr="00C02974" w:rsidRDefault="00D517D1" w:rsidP="00D517D1">
            <w:pPr>
              <w:jc w:val="center"/>
              <w:rPr>
                <w:rFonts w:cs="Times New Roman"/>
                <w:sz w:val="22"/>
                <w:szCs w:val="22"/>
              </w:rPr>
            </w:pPr>
          </w:p>
        </w:tc>
        <w:tc>
          <w:tcPr>
            <w:tcW w:w="1559" w:type="dxa"/>
            <w:vAlign w:val="center"/>
            <w:hideMark/>
          </w:tcPr>
          <w:p w:rsidR="00D517D1" w:rsidRPr="00C02974" w:rsidRDefault="00D517D1" w:rsidP="00D517D1">
            <w:pPr>
              <w:jc w:val="center"/>
              <w:rPr>
                <w:rFonts w:cs="Times New Roman"/>
                <w:sz w:val="22"/>
                <w:szCs w:val="22"/>
              </w:rPr>
            </w:pPr>
          </w:p>
        </w:tc>
        <w:tc>
          <w:tcPr>
            <w:tcW w:w="1418" w:type="dxa"/>
            <w:vAlign w:val="center"/>
            <w:hideMark/>
          </w:tcPr>
          <w:p w:rsidR="00D517D1" w:rsidRPr="00C02974" w:rsidRDefault="00D517D1" w:rsidP="00D517D1">
            <w:pPr>
              <w:jc w:val="center"/>
              <w:rPr>
                <w:rFonts w:cs="Times New Roman"/>
                <w:sz w:val="22"/>
                <w:szCs w:val="22"/>
              </w:rPr>
            </w:pPr>
          </w:p>
        </w:tc>
        <w:tc>
          <w:tcPr>
            <w:tcW w:w="1842" w:type="dxa"/>
            <w:vAlign w:val="center"/>
            <w:hideMark/>
          </w:tcPr>
          <w:p w:rsidR="00D517D1" w:rsidRPr="00C02974" w:rsidRDefault="00D517D1" w:rsidP="00D517D1">
            <w:pPr>
              <w:jc w:val="center"/>
              <w:rPr>
                <w:rFonts w:cs="Times New Roman"/>
                <w:sz w:val="22"/>
                <w:szCs w:val="22"/>
              </w:rPr>
            </w:pPr>
          </w:p>
        </w:tc>
        <w:tc>
          <w:tcPr>
            <w:tcW w:w="1560" w:type="dxa"/>
            <w:vAlign w:val="center"/>
            <w:hideMark/>
          </w:tcPr>
          <w:p w:rsidR="00D517D1" w:rsidRPr="00C02974" w:rsidRDefault="00D517D1" w:rsidP="00D517D1">
            <w:pPr>
              <w:jc w:val="center"/>
              <w:rPr>
                <w:rFonts w:cs="Times New Roman"/>
                <w:sz w:val="22"/>
                <w:szCs w:val="22"/>
              </w:rPr>
            </w:pPr>
          </w:p>
        </w:tc>
        <w:tc>
          <w:tcPr>
            <w:tcW w:w="1884" w:type="dxa"/>
            <w:vAlign w:val="center"/>
            <w:hideMark/>
          </w:tcPr>
          <w:p w:rsidR="00D517D1" w:rsidRPr="00C02974" w:rsidRDefault="00D517D1" w:rsidP="00D517D1">
            <w:pPr>
              <w:jc w:val="center"/>
              <w:rPr>
                <w:rFonts w:cs="Times New Roman"/>
                <w:sz w:val="22"/>
                <w:szCs w:val="22"/>
              </w:rPr>
            </w:pPr>
          </w:p>
        </w:tc>
      </w:tr>
      <w:tr w:rsidR="00D517D1" w:rsidRPr="00C02974" w:rsidTr="004B2999">
        <w:trPr>
          <w:trHeight w:val="441"/>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 xml:space="preserve"> - доходи загального фонду (без трансфертів)</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909 476,1</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1 237 669,5</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1 347 840,0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1 482 121,9</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110,0%</w:t>
            </w:r>
          </w:p>
        </w:tc>
      </w:tr>
      <w:tr w:rsidR="00D517D1" w:rsidRPr="00C02974" w:rsidTr="002E3F58">
        <w:trPr>
          <w:trHeight w:val="388"/>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 xml:space="preserve"> - доходи спеціального фонду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94 838,7</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130 112,0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82 000,0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150 883,5</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184,0%</w:t>
            </w:r>
          </w:p>
        </w:tc>
      </w:tr>
      <w:tr w:rsidR="00D517D1" w:rsidRPr="00C02974" w:rsidTr="002E3F58">
        <w:trPr>
          <w:trHeight w:val="550"/>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у тому числі обсяг бюджету розвитку місцевих бюджетів</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38 267,3</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66 228,8</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37 000,0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72 294,4</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195,4%</w:t>
            </w:r>
          </w:p>
        </w:tc>
      </w:tr>
      <w:tr w:rsidR="00D517D1" w:rsidRPr="00C02974" w:rsidTr="002E3F58">
        <w:trPr>
          <w:trHeight w:val="699"/>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lastRenderedPageBreak/>
              <w:t>Доходи місцевих бюджетів (без трансфертів) у розрахунку на одиницю населення</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5,3</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5,6</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6,3</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113,2%</w:t>
            </w:r>
          </w:p>
        </w:tc>
      </w:tr>
      <w:tr w:rsidR="00D517D1" w:rsidRPr="00C02974" w:rsidTr="002E3F58">
        <w:trPr>
          <w:trHeight w:val="780"/>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Питома вага бюджету розвитку місцевих бюджетів у загальному обсязі місцевих бюджетів</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3,8</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4,8</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2,6</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4,4</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848"/>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Капітальні видатки місцевих бюджетів (без трансфертів з державного бюджету) у розрахунку на одну особу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1,4</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2,2</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2,4</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118,5%</w:t>
            </w:r>
          </w:p>
        </w:tc>
      </w:tr>
      <w:tr w:rsidR="00D517D1" w:rsidRPr="00C02974" w:rsidTr="002E3F58">
        <w:trPr>
          <w:trHeight w:val="421"/>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Видатки місцевих бюджетів, всього</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1 862 296,0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2 670 200,0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2 558 735,3</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3 047 338,9</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119,1%</w:t>
            </w:r>
          </w:p>
        </w:tc>
      </w:tr>
      <w:tr w:rsidR="00D517D1" w:rsidRPr="00C02974" w:rsidTr="002E3F58">
        <w:trPr>
          <w:trHeight w:val="541"/>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у т.ч. за рахунок трансфертів з державного бюджету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914 017,2</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1 215 500,0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1 098 895,3</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1 236 725,3</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112,5%</w:t>
            </w:r>
          </w:p>
        </w:tc>
      </w:tr>
      <w:tr w:rsidR="00D517D1" w:rsidRPr="00C02974" w:rsidTr="002E3F58">
        <w:trPr>
          <w:trHeight w:val="562"/>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Надходження податків і зборів до державного бюджету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787 289,9</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1 031 311,4</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1 020 450,0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1 239 285,8</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121,4%</w:t>
            </w:r>
          </w:p>
        </w:tc>
      </w:tr>
      <w:tr w:rsidR="00D517D1" w:rsidRPr="00C02974" w:rsidTr="002E3F58">
        <w:trPr>
          <w:trHeight w:val="841"/>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Надходження коштів від сплати єдиного внеску на загальнообов’язкове державне соціальне страхування (ЄВ на ЗОДСС)</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1 012 447,6</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1 478 386,7</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1 485 800,0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1 755 669,1</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118,2%</w:t>
            </w:r>
          </w:p>
        </w:tc>
      </w:tr>
      <w:tr w:rsidR="00D517D1" w:rsidRPr="00C02974" w:rsidTr="002E3F58">
        <w:trPr>
          <w:trHeight w:val="568"/>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Заборгованість зі сплати ЄВ на ЗОДСС (на кінець звітного періоду)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26 212,0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29 222,2</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27 000,0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68 486,9</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253,7%</w:t>
            </w:r>
          </w:p>
        </w:tc>
      </w:tr>
      <w:tr w:rsidR="00D517D1" w:rsidRPr="00C02974" w:rsidTr="002E3F58">
        <w:trPr>
          <w:trHeight w:val="548"/>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Темп зростання (зменшення) заборгованості зі сплати ЄВ на ЗОДСС (до початку року)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98,8</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112,5</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96,4</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234,4</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4B2999">
        <w:trPr>
          <w:trHeight w:val="1577"/>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Податковий борг за грошовими зобов’язаннями платників податків без урахування податкового боргу платників податків, які перебувають у процедурах банкрутства або щодо яких судом прийнято рішення про зупинення провадження у справі</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185 466,2</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211 751,5</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180 000,0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282 170,7</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156,8%</w:t>
            </w:r>
          </w:p>
        </w:tc>
      </w:tr>
      <w:tr w:rsidR="00D517D1" w:rsidRPr="00C02974" w:rsidTr="002E3F58">
        <w:trPr>
          <w:trHeight w:val="271"/>
          <w:jc w:val="center"/>
        </w:trPr>
        <w:tc>
          <w:tcPr>
            <w:tcW w:w="4609" w:type="dxa"/>
            <w:noWrap/>
            <w:hideMark/>
          </w:tcPr>
          <w:p w:rsidR="00D517D1" w:rsidRPr="00C02974" w:rsidRDefault="00D517D1" w:rsidP="0079421C">
            <w:pPr>
              <w:jc w:val="both"/>
              <w:rPr>
                <w:rFonts w:cs="Times New Roman"/>
                <w:sz w:val="22"/>
                <w:szCs w:val="22"/>
              </w:rPr>
            </w:pPr>
            <w:r w:rsidRPr="00C02974">
              <w:rPr>
                <w:rFonts w:cs="Times New Roman"/>
                <w:sz w:val="22"/>
                <w:szCs w:val="22"/>
              </w:rPr>
              <w:t>у тому числі:</w:t>
            </w:r>
          </w:p>
        </w:tc>
        <w:tc>
          <w:tcPr>
            <w:tcW w:w="1134" w:type="dxa"/>
            <w:vAlign w:val="center"/>
            <w:hideMark/>
          </w:tcPr>
          <w:p w:rsidR="00D517D1" w:rsidRPr="00C02974" w:rsidRDefault="00D517D1" w:rsidP="00D517D1">
            <w:pPr>
              <w:jc w:val="center"/>
              <w:rPr>
                <w:rFonts w:cs="Times New Roman"/>
                <w:sz w:val="22"/>
                <w:szCs w:val="22"/>
              </w:rPr>
            </w:pPr>
          </w:p>
        </w:tc>
        <w:tc>
          <w:tcPr>
            <w:tcW w:w="1559" w:type="dxa"/>
            <w:vAlign w:val="center"/>
            <w:hideMark/>
          </w:tcPr>
          <w:p w:rsidR="00D517D1" w:rsidRPr="00C02974" w:rsidRDefault="00D517D1" w:rsidP="00D517D1">
            <w:pPr>
              <w:jc w:val="center"/>
              <w:rPr>
                <w:rFonts w:cs="Times New Roman"/>
                <w:sz w:val="22"/>
                <w:szCs w:val="22"/>
              </w:rPr>
            </w:pPr>
          </w:p>
        </w:tc>
        <w:tc>
          <w:tcPr>
            <w:tcW w:w="1418" w:type="dxa"/>
            <w:vAlign w:val="center"/>
            <w:hideMark/>
          </w:tcPr>
          <w:p w:rsidR="00D517D1" w:rsidRPr="00C02974" w:rsidRDefault="00D517D1" w:rsidP="00D517D1">
            <w:pPr>
              <w:jc w:val="center"/>
              <w:rPr>
                <w:rFonts w:cs="Times New Roman"/>
                <w:sz w:val="22"/>
                <w:szCs w:val="22"/>
              </w:rPr>
            </w:pPr>
          </w:p>
        </w:tc>
        <w:tc>
          <w:tcPr>
            <w:tcW w:w="1842" w:type="dxa"/>
            <w:vAlign w:val="center"/>
            <w:hideMark/>
          </w:tcPr>
          <w:p w:rsidR="00D517D1" w:rsidRPr="00C02974" w:rsidRDefault="00D517D1" w:rsidP="00D517D1">
            <w:pPr>
              <w:jc w:val="center"/>
              <w:rPr>
                <w:rFonts w:cs="Times New Roman"/>
                <w:sz w:val="22"/>
                <w:szCs w:val="22"/>
              </w:rPr>
            </w:pPr>
          </w:p>
        </w:tc>
        <w:tc>
          <w:tcPr>
            <w:tcW w:w="1560" w:type="dxa"/>
            <w:vAlign w:val="center"/>
            <w:hideMark/>
          </w:tcPr>
          <w:p w:rsidR="00D517D1" w:rsidRPr="00C02974" w:rsidRDefault="00D517D1" w:rsidP="00D517D1">
            <w:pPr>
              <w:jc w:val="center"/>
              <w:rPr>
                <w:rFonts w:cs="Times New Roman"/>
                <w:sz w:val="22"/>
                <w:szCs w:val="22"/>
              </w:rPr>
            </w:pPr>
          </w:p>
        </w:tc>
        <w:tc>
          <w:tcPr>
            <w:tcW w:w="1884" w:type="dxa"/>
            <w:vAlign w:val="center"/>
            <w:hideMark/>
          </w:tcPr>
          <w:p w:rsidR="00D517D1" w:rsidRPr="00C02974" w:rsidRDefault="00D517D1" w:rsidP="00D517D1">
            <w:pPr>
              <w:jc w:val="center"/>
              <w:rPr>
                <w:rFonts w:cs="Times New Roman"/>
                <w:sz w:val="22"/>
                <w:szCs w:val="22"/>
              </w:rPr>
            </w:pPr>
          </w:p>
        </w:tc>
      </w:tr>
      <w:tr w:rsidR="00D517D1" w:rsidRPr="00C02974" w:rsidTr="002E3F58">
        <w:trPr>
          <w:trHeight w:val="416"/>
          <w:jc w:val="center"/>
        </w:trPr>
        <w:tc>
          <w:tcPr>
            <w:tcW w:w="4609" w:type="dxa"/>
            <w:hideMark/>
          </w:tcPr>
          <w:p w:rsidR="00D517D1" w:rsidRPr="00C02974" w:rsidRDefault="00667AFF" w:rsidP="0079421C">
            <w:pPr>
              <w:jc w:val="both"/>
              <w:rPr>
                <w:rFonts w:cs="Times New Roman"/>
                <w:sz w:val="22"/>
                <w:szCs w:val="22"/>
              </w:rPr>
            </w:pPr>
            <w:r>
              <w:rPr>
                <w:rFonts w:cs="Times New Roman"/>
                <w:sz w:val="22"/>
                <w:szCs w:val="22"/>
                <w:lang w:val="uk-UA"/>
              </w:rPr>
              <w:t>-</w:t>
            </w:r>
            <w:r w:rsidR="00D517D1" w:rsidRPr="00C02974">
              <w:rPr>
                <w:rFonts w:cs="Times New Roman"/>
                <w:sz w:val="22"/>
                <w:szCs w:val="22"/>
              </w:rPr>
              <w:t>  до державного бюджету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151 935,2</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166 514,6</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142 200,0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228 961,1</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161,0%</w:t>
            </w:r>
          </w:p>
        </w:tc>
      </w:tr>
      <w:tr w:rsidR="00D517D1" w:rsidRPr="00C02974" w:rsidTr="002E3F58">
        <w:trPr>
          <w:trHeight w:val="421"/>
          <w:jc w:val="center"/>
        </w:trPr>
        <w:tc>
          <w:tcPr>
            <w:tcW w:w="4609" w:type="dxa"/>
            <w:hideMark/>
          </w:tcPr>
          <w:p w:rsidR="00D517D1" w:rsidRPr="00C02974" w:rsidRDefault="00667AFF" w:rsidP="0079421C">
            <w:pPr>
              <w:jc w:val="both"/>
              <w:rPr>
                <w:rFonts w:cs="Times New Roman"/>
                <w:sz w:val="22"/>
                <w:szCs w:val="22"/>
              </w:rPr>
            </w:pPr>
            <w:r>
              <w:rPr>
                <w:rFonts w:cs="Times New Roman"/>
                <w:sz w:val="22"/>
                <w:szCs w:val="22"/>
                <w:lang w:val="uk-UA"/>
              </w:rPr>
              <w:lastRenderedPageBreak/>
              <w:t>-</w:t>
            </w:r>
            <w:r w:rsidR="00D517D1" w:rsidRPr="00C02974">
              <w:rPr>
                <w:rFonts w:cs="Times New Roman"/>
                <w:sz w:val="22"/>
                <w:szCs w:val="22"/>
              </w:rPr>
              <w:t xml:space="preserve"> до місцевих бюджетів</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33 531,0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45 236,9</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37 800,0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53 209,6</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140,8%</w:t>
            </w:r>
          </w:p>
        </w:tc>
      </w:tr>
      <w:tr w:rsidR="00D517D1" w:rsidRPr="00C02974" w:rsidTr="004B2999">
        <w:trPr>
          <w:trHeight w:val="2104"/>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 xml:space="preserve">Темп зростання (зменшення) податкового боргу за грошовими зобов’язаннями платників податків без урахування податкового боргу платників податків, які перебувають у процедурах банкрутства або щодо яких судом прийнято рішення про зупинення провадження у справі, відсотків до початку року     </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121,5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114,2</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97,3</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133,3</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667AFF" w:rsidRPr="00C02974" w:rsidTr="002E3F58">
        <w:trPr>
          <w:trHeight w:val="557"/>
          <w:jc w:val="center"/>
        </w:trPr>
        <w:tc>
          <w:tcPr>
            <w:tcW w:w="14006" w:type="dxa"/>
            <w:gridSpan w:val="7"/>
            <w:vAlign w:val="center"/>
            <w:hideMark/>
          </w:tcPr>
          <w:p w:rsidR="00667AFF" w:rsidRPr="00C02974" w:rsidRDefault="00667AFF" w:rsidP="00667AFF">
            <w:pPr>
              <w:jc w:val="center"/>
              <w:rPr>
                <w:rFonts w:cs="Times New Roman"/>
                <w:sz w:val="22"/>
                <w:szCs w:val="22"/>
              </w:rPr>
            </w:pPr>
            <w:r w:rsidRPr="00C02974">
              <w:rPr>
                <w:rFonts w:cs="Times New Roman"/>
                <w:b/>
                <w:bCs/>
                <w:sz w:val="22"/>
                <w:szCs w:val="22"/>
                <w:u w:val="single"/>
              </w:rPr>
              <w:t>ПОКАЗНИКИ РОЗВИТКУ СПОЖИВЧОГО РИНКУ</w:t>
            </w:r>
          </w:p>
        </w:tc>
      </w:tr>
      <w:tr w:rsidR="00D517D1" w:rsidRPr="00C02974" w:rsidTr="004B2999">
        <w:trPr>
          <w:trHeight w:val="544"/>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Роздрібний товарооборот підприємств (юридичних осіб)</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6 423 837,0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6 072 376,3</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7 116 861,6</w:t>
            </w:r>
          </w:p>
        </w:tc>
        <w:tc>
          <w:tcPr>
            <w:tcW w:w="1560" w:type="dxa"/>
            <w:vAlign w:val="center"/>
            <w:hideMark/>
          </w:tcPr>
          <w:p w:rsidR="00D517D1" w:rsidRPr="00822DD1" w:rsidRDefault="00331408" w:rsidP="00D517D1">
            <w:pPr>
              <w:jc w:val="center"/>
              <w:rPr>
                <w:rFonts w:cs="Times New Roman"/>
                <w:sz w:val="22"/>
                <w:szCs w:val="22"/>
                <w:lang w:val="uk-UA"/>
              </w:rPr>
            </w:pPr>
            <w:r>
              <w:rPr>
                <w:rFonts w:cs="Times New Roman"/>
                <w:sz w:val="22"/>
                <w:szCs w:val="22"/>
                <w:lang w:val="uk-UA"/>
              </w:rPr>
              <w:t>5 401 200,0*</w:t>
            </w:r>
            <w:r w:rsidR="00822DD1">
              <w:rPr>
                <w:rFonts w:cs="Times New Roman"/>
                <w:sz w:val="22"/>
                <w:szCs w:val="22"/>
                <w:lang w:val="uk-UA"/>
              </w:rPr>
              <w:t xml:space="preserve"> </w:t>
            </w:r>
          </w:p>
        </w:tc>
        <w:tc>
          <w:tcPr>
            <w:tcW w:w="1884" w:type="dxa"/>
            <w:vAlign w:val="center"/>
            <w:hideMark/>
          </w:tcPr>
          <w:p w:rsidR="00D517D1" w:rsidRPr="00803C3B" w:rsidRDefault="00803C3B" w:rsidP="00D517D1">
            <w:pPr>
              <w:jc w:val="center"/>
              <w:rPr>
                <w:rFonts w:cs="Times New Roman"/>
                <w:sz w:val="22"/>
                <w:szCs w:val="22"/>
                <w:lang w:val="uk-UA"/>
              </w:rPr>
            </w:pPr>
            <w:r>
              <w:rPr>
                <w:rFonts w:cs="Times New Roman"/>
                <w:sz w:val="22"/>
                <w:szCs w:val="22"/>
                <w:lang w:val="uk-UA"/>
              </w:rPr>
              <w:t>х</w:t>
            </w:r>
          </w:p>
        </w:tc>
      </w:tr>
      <w:tr w:rsidR="00D517D1" w:rsidRPr="00C02974" w:rsidTr="004B2999">
        <w:trPr>
          <w:trHeight w:val="552"/>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 xml:space="preserve">Обсяг обороту роздрібної торгівлі на одну особу </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25 391</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23 720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27 692</w:t>
            </w:r>
          </w:p>
        </w:tc>
        <w:tc>
          <w:tcPr>
            <w:tcW w:w="1560" w:type="dxa"/>
            <w:vAlign w:val="center"/>
            <w:hideMark/>
          </w:tcPr>
          <w:p w:rsidR="00D517D1" w:rsidRPr="00331408" w:rsidRDefault="00331408" w:rsidP="00D517D1">
            <w:pPr>
              <w:jc w:val="center"/>
              <w:rPr>
                <w:rFonts w:cs="Times New Roman"/>
                <w:sz w:val="22"/>
                <w:szCs w:val="22"/>
                <w:lang w:val="uk-UA"/>
              </w:rPr>
            </w:pPr>
            <w:r>
              <w:rPr>
                <w:rFonts w:cs="Times New Roman"/>
                <w:sz w:val="22"/>
                <w:szCs w:val="22"/>
                <w:lang w:val="uk-UA"/>
              </w:rPr>
              <w:t>20 977</w:t>
            </w:r>
            <w:r w:rsidR="00803C3B">
              <w:rPr>
                <w:rFonts w:cs="Times New Roman"/>
                <w:sz w:val="22"/>
                <w:szCs w:val="22"/>
                <w:lang w:val="uk-UA"/>
              </w:rPr>
              <w:t>*</w:t>
            </w:r>
          </w:p>
        </w:tc>
        <w:tc>
          <w:tcPr>
            <w:tcW w:w="1884" w:type="dxa"/>
            <w:vAlign w:val="center"/>
            <w:hideMark/>
          </w:tcPr>
          <w:p w:rsidR="00D517D1" w:rsidRPr="00803C3B" w:rsidRDefault="00803C3B" w:rsidP="00D517D1">
            <w:pPr>
              <w:jc w:val="center"/>
              <w:rPr>
                <w:rFonts w:cs="Times New Roman"/>
                <w:sz w:val="22"/>
                <w:szCs w:val="22"/>
                <w:lang w:val="uk-UA"/>
              </w:rPr>
            </w:pPr>
            <w:r>
              <w:rPr>
                <w:rFonts w:cs="Times New Roman"/>
                <w:sz w:val="22"/>
                <w:szCs w:val="22"/>
                <w:lang w:val="uk-UA"/>
              </w:rPr>
              <w:t>х</w:t>
            </w:r>
          </w:p>
        </w:tc>
      </w:tr>
      <w:tr w:rsidR="00D517D1" w:rsidRPr="00C02974" w:rsidTr="004B2999">
        <w:trPr>
          <w:trHeight w:val="560"/>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Темп зростання (зниження) обороту  роздрібної торгівлі (у порівняних цінах)</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100,4</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107,6</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101,0</w:t>
            </w:r>
          </w:p>
        </w:tc>
        <w:tc>
          <w:tcPr>
            <w:tcW w:w="1560" w:type="dxa"/>
            <w:vAlign w:val="center"/>
            <w:hideMark/>
          </w:tcPr>
          <w:p w:rsidR="00D517D1" w:rsidRPr="00331408" w:rsidRDefault="00331408" w:rsidP="00D517D1">
            <w:pPr>
              <w:jc w:val="center"/>
              <w:rPr>
                <w:rFonts w:cs="Times New Roman"/>
                <w:sz w:val="22"/>
                <w:szCs w:val="22"/>
                <w:lang w:val="uk-UA"/>
              </w:rPr>
            </w:pPr>
            <w:r>
              <w:rPr>
                <w:rFonts w:cs="Times New Roman"/>
                <w:sz w:val="22"/>
                <w:szCs w:val="22"/>
                <w:lang w:val="uk-UA"/>
              </w:rPr>
              <w:t>114,9*</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667AFF" w:rsidRPr="00C02974" w:rsidTr="002E3F58">
        <w:trPr>
          <w:trHeight w:val="405"/>
          <w:jc w:val="center"/>
        </w:trPr>
        <w:tc>
          <w:tcPr>
            <w:tcW w:w="14006" w:type="dxa"/>
            <w:gridSpan w:val="7"/>
            <w:vAlign w:val="center"/>
            <w:hideMark/>
          </w:tcPr>
          <w:p w:rsidR="00667AFF" w:rsidRPr="00C02974" w:rsidRDefault="00667AFF" w:rsidP="00667AFF">
            <w:pPr>
              <w:jc w:val="center"/>
              <w:rPr>
                <w:rFonts w:cs="Times New Roman"/>
                <w:sz w:val="22"/>
                <w:szCs w:val="22"/>
              </w:rPr>
            </w:pPr>
            <w:r w:rsidRPr="00C02974">
              <w:rPr>
                <w:rFonts w:cs="Times New Roman"/>
                <w:b/>
                <w:bCs/>
                <w:sz w:val="22"/>
                <w:szCs w:val="22"/>
                <w:u w:val="single"/>
              </w:rPr>
              <w:t>РОЗВИТОК СЕРЕДНЬОГО ТА МАЛОГО ПІДПРИЄМНИЦТВА</w:t>
            </w:r>
          </w:p>
        </w:tc>
      </w:tr>
      <w:tr w:rsidR="00D517D1" w:rsidRPr="00C02974" w:rsidTr="002E3F58">
        <w:trPr>
          <w:trHeight w:val="834"/>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Кількість суб'єктів середнього та малого підприємництва у розрахунку  на 10 тис. осіб наявного населення</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один.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614</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633</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618</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будуть у ІІ півріччі 2019р.</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1255"/>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Частка обсягу реалізованої продукції (робіт, послуг) суб'єктів середнього та малого підприємництва у загальному обсязі реалізованої продукції (товарів, послуг) суб'єктами господарювання</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76,6</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відсутні</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77</w:t>
            </w:r>
          </w:p>
        </w:tc>
        <w:tc>
          <w:tcPr>
            <w:tcW w:w="1560" w:type="dxa"/>
            <w:vAlign w:val="center"/>
            <w:hideMark/>
          </w:tcPr>
          <w:p w:rsidR="00D517D1" w:rsidRPr="00C02974" w:rsidRDefault="00667AFF" w:rsidP="00D517D1">
            <w:pPr>
              <w:jc w:val="center"/>
              <w:rPr>
                <w:rFonts w:cs="Times New Roman"/>
                <w:sz w:val="22"/>
                <w:szCs w:val="22"/>
              </w:rPr>
            </w:pPr>
            <w:r w:rsidRPr="00C02974">
              <w:rPr>
                <w:rFonts w:cs="Times New Roman"/>
                <w:sz w:val="22"/>
                <w:szCs w:val="22"/>
              </w:rPr>
              <w:t>дані не оприлюднюються</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834"/>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Кількість зайнятих працівників у середньому та малому підприємництві</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тис.осіб</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63,3</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не оприлюднюються</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65</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не оприлюднюються</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549"/>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lastRenderedPageBreak/>
              <w:t>Кількість малих підприємств у розрахунку на 10 тис. осіб наявного населення</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одиниць</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121</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133</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122</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будуть у ІІ півріччі 2019р.</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982"/>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Частка обсягу реалізованої продукції (робіт, послуг) малих підприємств у загальному обсязі реалізованої продукції (товарів, послуг) субєктами господарювання</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24,5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28</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25</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будуть у ІІ півріччі 2019р.</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529"/>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Кількість зайнятих працівників на малих підприємствах</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осіб</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16,3</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17,1</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17</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будуть у ІІ півріччі 2019р.</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553"/>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Фінансовий результат малих підприємств до оподаткування, всього</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65 419,5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371 090,8</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65 600,0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будуть у ІІ півріччі 2019р.</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667AFF" w:rsidRPr="00C02974" w:rsidTr="002E3F58">
        <w:trPr>
          <w:trHeight w:val="558"/>
          <w:jc w:val="center"/>
        </w:trPr>
        <w:tc>
          <w:tcPr>
            <w:tcW w:w="14006" w:type="dxa"/>
            <w:gridSpan w:val="7"/>
            <w:vAlign w:val="center"/>
            <w:hideMark/>
          </w:tcPr>
          <w:p w:rsidR="00667AFF" w:rsidRPr="00C02974" w:rsidRDefault="00667AFF" w:rsidP="00667AFF">
            <w:pPr>
              <w:jc w:val="center"/>
              <w:rPr>
                <w:rFonts w:cs="Times New Roman"/>
                <w:sz w:val="22"/>
                <w:szCs w:val="22"/>
              </w:rPr>
            </w:pPr>
            <w:r w:rsidRPr="00C02974">
              <w:rPr>
                <w:rFonts w:cs="Times New Roman"/>
                <w:b/>
                <w:bCs/>
                <w:sz w:val="22"/>
                <w:szCs w:val="22"/>
                <w:u w:val="single"/>
              </w:rPr>
              <w:t>ІНВЕСТИЦІЙНА ТА ЗОВНІШНЬОЕКОНОМІЧНА ДІЯЛЬНІСТЬ</w:t>
            </w:r>
          </w:p>
        </w:tc>
      </w:tr>
      <w:tr w:rsidR="00D517D1" w:rsidRPr="00C02974" w:rsidTr="002E3F58">
        <w:trPr>
          <w:trHeight w:val="566"/>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капітальних інвестицій за рахунок усіх джерел фінансування</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3 313 496,0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3 066 800,0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2 100 000,0</w:t>
            </w:r>
          </w:p>
        </w:tc>
        <w:tc>
          <w:tcPr>
            <w:tcW w:w="1560" w:type="dxa"/>
            <w:vAlign w:val="center"/>
            <w:hideMark/>
          </w:tcPr>
          <w:p w:rsidR="00D517D1" w:rsidRPr="0079421C" w:rsidRDefault="00D517D1" w:rsidP="00D517D1">
            <w:pPr>
              <w:jc w:val="center"/>
              <w:rPr>
                <w:rFonts w:cs="Times New Roman"/>
                <w:sz w:val="22"/>
                <w:szCs w:val="22"/>
                <w:lang w:val="uk-UA"/>
              </w:rPr>
            </w:pPr>
            <w:r w:rsidRPr="00C02974">
              <w:rPr>
                <w:rFonts w:cs="Times New Roman"/>
                <w:sz w:val="22"/>
                <w:szCs w:val="22"/>
              </w:rPr>
              <w:t>2 061 177,0</w:t>
            </w:r>
            <w:r w:rsidR="0079421C">
              <w:rPr>
                <w:rFonts w:cs="Times New Roman"/>
                <w:sz w:val="22"/>
                <w:szCs w:val="22"/>
                <w:lang w:val="uk-UA"/>
              </w:rPr>
              <w:t>*</w:t>
            </w:r>
          </w:p>
        </w:tc>
        <w:tc>
          <w:tcPr>
            <w:tcW w:w="1884" w:type="dxa"/>
            <w:vAlign w:val="center"/>
            <w:hideMark/>
          </w:tcPr>
          <w:p w:rsidR="00D517D1" w:rsidRPr="00F07120" w:rsidRDefault="00F07120" w:rsidP="00D517D1">
            <w:pPr>
              <w:jc w:val="center"/>
              <w:rPr>
                <w:rFonts w:cs="Times New Roman"/>
                <w:sz w:val="22"/>
                <w:szCs w:val="22"/>
                <w:lang w:val="uk-UA"/>
              </w:rPr>
            </w:pPr>
            <w:r>
              <w:rPr>
                <w:rFonts w:cs="Times New Roman"/>
                <w:sz w:val="22"/>
                <w:szCs w:val="22"/>
                <w:lang w:val="uk-UA"/>
              </w:rPr>
              <w:t>х</w:t>
            </w:r>
          </w:p>
        </w:tc>
      </w:tr>
      <w:tr w:rsidR="00D517D1" w:rsidRPr="00C02974" w:rsidTr="002E3F58">
        <w:trPr>
          <w:trHeight w:val="813"/>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капітальних інвестицій (крім інвестицій з державного бюджету) у розрахунку на одну особу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13 243,4</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11 029,0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8 171,2</w:t>
            </w:r>
          </w:p>
        </w:tc>
        <w:tc>
          <w:tcPr>
            <w:tcW w:w="1560" w:type="dxa"/>
            <w:vAlign w:val="center"/>
            <w:hideMark/>
          </w:tcPr>
          <w:p w:rsidR="00D517D1" w:rsidRPr="0079421C" w:rsidRDefault="00D517D1" w:rsidP="00D517D1">
            <w:pPr>
              <w:jc w:val="center"/>
              <w:rPr>
                <w:rFonts w:cs="Times New Roman"/>
                <w:sz w:val="22"/>
                <w:szCs w:val="22"/>
                <w:lang w:val="uk-UA"/>
              </w:rPr>
            </w:pPr>
            <w:r w:rsidRPr="00C02974">
              <w:rPr>
                <w:rFonts w:cs="Times New Roman"/>
                <w:sz w:val="22"/>
                <w:szCs w:val="22"/>
              </w:rPr>
              <w:t>8 140,5</w:t>
            </w:r>
            <w:r w:rsidR="0079421C">
              <w:rPr>
                <w:rFonts w:cs="Times New Roman"/>
                <w:sz w:val="22"/>
                <w:szCs w:val="22"/>
                <w:lang w:val="uk-UA"/>
              </w:rPr>
              <w:t>*</w:t>
            </w:r>
          </w:p>
        </w:tc>
        <w:tc>
          <w:tcPr>
            <w:tcW w:w="1884" w:type="dxa"/>
            <w:vAlign w:val="center"/>
            <w:hideMark/>
          </w:tcPr>
          <w:p w:rsidR="00D517D1" w:rsidRPr="00F07120" w:rsidRDefault="00F07120" w:rsidP="00D517D1">
            <w:pPr>
              <w:jc w:val="center"/>
              <w:rPr>
                <w:rFonts w:cs="Times New Roman"/>
                <w:sz w:val="22"/>
                <w:szCs w:val="22"/>
                <w:lang w:val="uk-UA"/>
              </w:rPr>
            </w:pPr>
            <w:r>
              <w:rPr>
                <w:rFonts w:cs="Times New Roman"/>
                <w:sz w:val="22"/>
                <w:szCs w:val="22"/>
                <w:lang w:val="uk-UA"/>
              </w:rPr>
              <w:t>х</w:t>
            </w:r>
          </w:p>
        </w:tc>
      </w:tr>
      <w:tr w:rsidR="00D517D1" w:rsidRPr="00C02974" w:rsidTr="002E3F58">
        <w:trPr>
          <w:trHeight w:val="813"/>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прямих іноземних інвестицій з наростаючим підсумком, з початку інвестування</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тис.дол. США</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456 290,5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494 504,8</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520 000,0</w:t>
            </w:r>
          </w:p>
        </w:tc>
        <w:tc>
          <w:tcPr>
            <w:tcW w:w="1560" w:type="dxa"/>
            <w:vAlign w:val="center"/>
            <w:hideMark/>
          </w:tcPr>
          <w:p w:rsidR="00D517D1" w:rsidRPr="00CD61C6" w:rsidRDefault="00CD61C6" w:rsidP="00D517D1">
            <w:pPr>
              <w:jc w:val="center"/>
              <w:rPr>
                <w:rFonts w:cs="Times New Roman"/>
                <w:sz w:val="22"/>
                <w:szCs w:val="22"/>
                <w:lang w:val="uk-UA"/>
              </w:rPr>
            </w:pPr>
            <w:r>
              <w:rPr>
                <w:rFonts w:cs="Times New Roman"/>
                <w:sz w:val="22"/>
                <w:szCs w:val="22"/>
                <w:lang w:val="uk-UA"/>
              </w:rPr>
              <w:t>491 607,8</w:t>
            </w:r>
          </w:p>
        </w:tc>
        <w:tc>
          <w:tcPr>
            <w:tcW w:w="1884" w:type="dxa"/>
            <w:vAlign w:val="center"/>
            <w:hideMark/>
          </w:tcPr>
          <w:p w:rsidR="00D517D1" w:rsidRPr="00C02974" w:rsidRDefault="00CD61C6" w:rsidP="00D517D1">
            <w:pPr>
              <w:jc w:val="center"/>
              <w:rPr>
                <w:rFonts w:cs="Times New Roman"/>
                <w:sz w:val="22"/>
                <w:szCs w:val="22"/>
              </w:rPr>
            </w:pPr>
            <w:r>
              <w:rPr>
                <w:rFonts w:cs="Times New Roman"/>
                <w:sz w:val="22"/>
                <w:szCs w:val="22"/>
                <w:lang w:val="uk-UA"/>
              </w:rPr>
              <w:t>94,5</w:t>
            </w:r>
            <w:r w:rsidR="00D517D1" w:rsidRPr="00C02974">
              <w:rPr>
                <w:rFonts w:cs="Times New Roman"/>
                <w:sz w:val="22"/>
                <w:szCs w:val="22"/>
              </w:rPr>
              <w:t>%</w:t>
            </w:r>
          </w:p>
        </w:tc>
      </w:tr>
      <w:tr w:rsidR="00D517D1" w:rsidRPr="00C02974" w:rsidTr="0031118A">
        <w:trPr>
          <w:trHeight w:val="503"/>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прямих іноземних інвестицій на кінець звітного періоду (у % до початку року)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98,2</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109,2</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105,2</w:t>
            </w:r>
          </w:p>
        </w:tc>
        <w:tc>
          <w:tcPr>
            <w:tcW w:w="1560" w:type="dxa"/>
            <w:vAlign w:val="center"/>
            <w:hideMark/>
          </w:tcPr>
          <w:p w:rsidR="00D517D1" w:rsidRPr="00CD61C6" w:rsidRDefault="00CD61C6" w:rsidP="00D517D1">
            <w:pPr>
              <w:jc w:val="center"/>
              <w:rPr>
                <w:rFonts w:cs="Times New Roman"/>
                <w:sz w:val="22"/>
                <w:szCs w:val="22"/>
                <w:lang w:val="uk-UA"/>
              </w:rPr>
            </w:pPr>
            <w:r>
              <w:rPr>
                <w:rFonts w:cs="Times New Roman"/>
                <w:sz w:val="22"/>
                <w:szCs w:val="22"/>
                <w:lang w:val="uk-UA"/>
              </w:rPr>
              <w:t>99,4</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567"/>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 xml:space="preserve">Обсяг прямих іноземних інвестицій на одну особу </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дол. США</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1 823,5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1 967,2</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2 023,3</w:t>
            </w:r>
          </w:p>
        </w:tc>
        <w:tc>
          <w:tcPr>
            <w:tcW w:w="1560" w:type="dxa"/>
            <w:vAlign w:val="center"/>
            <w:hideMark/>
          </w:tcPr>
          <w:p w:rsidR="00D517D1" w:rsidRPr="00CD61C6" w:rsidRDefault="00CD61C6" w:rsidP="00D517D1">
            <w:pPr>
              <w:jc w:val="center"/>
              <w:rPr>
                <w:rFonts w:cs="Times New Roman"/>
                <w:sz w:val="22"/>
                <w:szCs w:val="22"/>
                <w:lang w:val="uk-UA"/>
              </w:rPr>
            </w:pPr>
            <w:r>
              <w:rPr>
                <w:rFonts w:cs="Times New Roman"/>
                <w:sz w:val="22"/>
                <w:szCs w:val="22"/>
                <w:lang w:val="uk-UA"/>
              </w:rPr>
              <w:t>1 918,4</w:t>
            </w:r>
          </w:p>
        </w:tc>
        <w:tc>
          <w:tcPr>
            <w:tcW w:w="1884" w:type="dxa"/>
            <w:vAlign w:val="center"/>
            <w:hideMark/>
          </w:tcPr>
          <w:p w:rsidR="00D517D1" w:rsidRPr="00CD61C6" w:rsidRDefault="00CD61C6" w:rsidP="00D517D1">
            <w:pPr>
              <w:jc w:val="center"/>
              <w:rPr>
                <w:rFonts w:cs="Times New Roman"/>
                <w:sz w:val="22"/>
                <w:szCs w:val="22"/>
                <w:lang w:val="uk-UA"/>
              </w:rPr>
            </w:pPr>
            <w:r>
              <w:rPr>
                <w:rFonts w:cs="Times New Roman"/>
                <w:sz w:val="22"/>
                <w:szCs w:val="22"/>
                <w:lang w:val="uk-UA"/>
              </w:rPr>
              <w:t>94,8%</w:t>
            </w:r>
          </w:p>
        </w:tc>
      </w:tr>
      <w:tr w:rsidR="00D517D1" w:rsidRPr="00C02974" w:rsidTr="002E3F58">
        <w:trPr>
          <w:trHeight w:val="689"/>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експорту товарів, всього</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тис.дол. США</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377 449,8</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252 728,6</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378 000,0</w:t>
            </w:r>
          </w:p>
        </w:tc>
        <w:tc>
          <w:tcPr>
            <w:tcW w:w="1560" w:type="dxa"/>
            <w:vAlign w:val="center"/>
            <w:hideMark/>
          </w:tcPr>
          <w:p w:rsidR="00D517D1" w:rsidRPr="005509D1" w:rsidRDefault="00D517D1" w:rsidP="0095178A">
            <w:pPr>
              <w:jc w:val="center"/>
              <w:rPr>
                <w:rFonts w:cs="Times New Roman"/>
                <w:sz w:val="22"/>
                <w:szCs w:val="22"/>
                <w:lang w:val="uk-UA"/>
              </w:rPr>
            </w:pPr>
            <w:r w:rsidRPr="00C02974">
              <w:rPr>
                <w:rFonts w:cs="Times New Roman"/>
                <w:sz w:val="22"/>
                <w:szCs w:val="22"/>
              </w:rPr>
              <w:t>2</w:t>
            </w:r>
            <w:r w:rsidR="0095178A">
              <w:rPr>
                <w:rFonts w:cs="Times New Roman"/>
                <w:sz w:val="22"/>
                <w:szCs w:val="22"/>
                <w:lang w:val="uk-UA"/>
              </w:rPr>
              <w:t>24 288,3</w:t>
            </w:r>
          </w:p>
        </w:tc>
        <w:tc>
          <w:tcPr>
            <w:tcW w:w="1884" w:type="dxa"/>
            <w:vAlign w:val="center"/>
            <w:hideMark/>
          </w:tcPr>
          <w:p w:rsidR="00D517D1" w:rsidRPr="00C02974" w:rsidRDefault="0095178A" w:rsidP="00D517D1">
            <w:pPr>
              <w:jc w:val="center"/>
              <w:rPr>
                <w:rFonts w:cs="Times New Roman"/>
                <w:sz w:val="22"/>
                <w:szCs w:val="22"/>
              </w:rPr>
            </w:pPr>
            <w:r>
              <w:rPr>
                <w:rFonts w:cs="Times New Roman"/>
                <w:sz w:val="22"/>
                <w:szCs w:val="22"/>
                <w:lang w:val="uk-UA"/>
              </w:rPr>
              <w:t>59,3</w:t>
            </w:r>
            <w:r w:rsidR="00D517D1" w:rsidRPr="00C02974">
              <w:rPr>
                <w:rFonts w:cs="Times New Roman"/>
                <w:sz w:val="22"/>
                <w:szCs w:val="22"/>
              </w:rPr>
              <w:t>%</w:t>
            </w:r>
          </w:p>
        </w:tc>
      </w:tr>
      <w:tr w:rsidR="00D517D1" w:rsidRPr="00C02974" w:rsidTr="002E3F58">
        <w:trPr>
          <w:trHeight w:val="840"/>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lastRenderedPageBreak/>
              <w:t>Темп зростання (зменшення) експорту товарів, відсотків до відповідного періоду попереднього року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222,5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66,6</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149,6</w:t>
            </w:r>
          </w:p>
        </w:tc>
        <w:tc>
          <w:tcPr>
            <w:tcW w:w="1560" w:type="dxa"/>
            <w:vAlign w:val="center"/>
            <w:hideMark/>
          </w:tcPr>
          <w:p w:rsidR="00D517D1" w:rsidRPr="0095178A" w:rsidRDefault="0095178A" w:rsidP="00D517D1">
            <w:pPr>
              <w:jc w:val="center"/>
              <w:rPr>
                <w:rFonts w:cs="Times New Roman"/>
                <w:sz w:val="22"/>
                <w:szCs w:val="22"/>
                <w:lang w:val="uk-UA"/>
              </w:rPr>
            </w:pPr>
            <w:r>
              <w:rPr>
                <w:rFonts w:cs="Times New Roman"/>
                <w:sz w:val="22"/>
                <w:szCs w:val="22"/>
                <w:lang w:val="uk-UA"/>
              </w:rPr>
              <w:t>88,7</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555"/>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експорту товарів у розрахунку на одну особу населення</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дол. США</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1 492</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987</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1 471</w:t>
            </w:r>
          </w:p>
        </w:tc>
        <w:tc>
          <w:tcPr>
            <w:tcW w:w="1560" w:type="dxa"/>
            <w:vAlign w:val="center"/>
            <w:hideMark/>
          </w:tcPr>
          <w:p w:rsidR="00D517D1" w:rsidRPr="005509D1" w:rsidRDefault="0095178A" w:rsidP="00D517D1">
            <w:pPr>
              <w:jc w:val="center"/>
              <w:rPr>
                <w:rFonts w:cs="Times New Roman"/>
                <w:sz w:val="22"/>
                <w:szCs w:val="22"/>
                <w:lang w:val="uk-UA"/>
              </w:rPr>
            </w:pPr>
            <w:r>
              <w:rPr>
                <w:rFonts w:cs="Times New Roman"/>
                <w:sz w:val="22"/>
                <w:szCs w:val="22"/>
                <w:lang w:val="uk-UA"/>
              </w:rPr>
              <w:t>865,8</w:t>
            </w:r>
          </w:p>
        </w:tc>
        <w:tc>
          <w:tcPr>
            <w:tcW w:w="1884" w:type="dxa"/>
            <w:vAlign w:val="center"/>
            <w:hideMark/>
          </w:tcPr>
          <w:p w:rsidR="00D517D1" w:rsidRPr="00C02974" w:rsidRDefault="0095178A" w:rsidP="00D517D1">
            <w:pPr>
              <w:jc w:val="center"/>
              <w:rPr>
                <w:rFonts w:cs="Times New Roman"/>
                <w:sz w:val="22"/>
                <w:szCs w:val="22"/>
              </w:rPr>
            </w:pPr>
            <w:r>
              <w:rPr>
                <w:rFonts w:cs="Times New Roman"/>
                <w:sz w:val="22"/>
                <w:szCs w:val="22"/>
                <w:lang w:val="uk-UA"/>
              </w:rPr>
              <w:t>58,9</w:t>
            </w:r>
            <w:r w:rsidR="00D517D1" w:rsidRPr="00C02974">
              <w:rPr>
                <w:rFonts w:cs="Times New Roman"/>
                <w:sz w:val="22"/>
                <w:szCs w:val="22"/>
              </w:rPr>
              <w:t>%</w:t>
            </w:r>
          </w:p>
        </w:tc>
      </w:tr>
      <w:tr w:rsidR="00D517D1" w:rsidRPr="00C02974" w:rsidTr="002E3F58">
        <w:trPr>
          <w:trHeight w:val="563"/>
          <w:jc w:val="center"/>
        </w:trPr>
        <w:tc>
          <w:tcPr>
            <w:tcW w:w="4609" w:type="dxa"/>
            <w:noWrap/>
            <w:hideMark/>
          </w:tcPr>
          <w:p w:rsidR="00D517D1" w:rsidRPr="00C02974" w:rsidRDefault="00D517D1" w:rsidP="0079421C">
            <w:pPr>
              <w:jc w:val="both"/>
              <w:rPr>
                <w:rFonts w:cs="Times New Roman"/>
                <w:sz w:val="22"/>
                <w:szCs w:val="22"/>
              </w:rPr>
            </w:pPr>
            <w:r w:rsidRPr="00C02974">
              <w:rPr>
                <w:rFonts w:cs="Times New Roman"/>
                <w:sz w:val="22"/>
                <w:szCs w:val="22"/>
              </w:rPr>
              <w:t>Обсяг імпорту товарів, всього</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тис.дол. США</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194 125,1</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232 485,6</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220 805,9</w:t>
            </w:r>
          </w:p>
        </w:tc>
        <w:tc>
          <w:tcPr>
            <w:tcW w:w="1560" w:type="dxa"/>
            <w:noWrap/>
            <w:vAlign w:val="center"/>
            <w:hideMark/>
          </w:tcPr>
          <w:p w:rsidR="00D517D1" w:rsidRPr="006B00D6" w:rsidRDefault="006B00D6" w:rsidP="00D517D1">
            <w:pPr>
              <w:jc w:val="center"/>
              <w:rPr>
                <w:rFonts w:cs="Times New Roman"/>
                <w:sz w:val="22"/>
                <w:szCs w:val="22"/>
                <w:lang w:val="uk-UA"/>
              </w:rPr>
            </w:pPr>
            <w:r>
              <w:rPr>
                <w:rFonts w:cs="Times New Roman"/>
                <w:sz w:val="22"/>
                <w:szCs w:val="22"/>
                <w:lang w:val="uk-UA"/>
              </w:rPr>
              <w:t>244 226,1</w:t>
            </w:r>
          </w:p>
        </w:tc>
        <w:tc>
          <w:tcPr>
            <w:tcW w:w="1884" w:type="dxa"/>
            <w:noWrap/>
            <w:vAlign w:val="center"/>
            <w:hideMark/>
          </w:tcPr>
          <w:p w:rsidR="00D517D1" w:rsidRPr="00C02974" w:rsidRDefault="002F6EF9" w:rsidP="00D517D1">
            <w:pPr>
              <w:jc w:val="center"/>
              <w:rPr>
                <w:rFonts w:cs="Times New Roman"/>
                <w:sz w:val="22"/>
                <w:szCs w:val="22"/>
              </w:rPr>
            </w:pPr>
            <w:r>
              <w:rPr>
                <w:rFonts w:cs="Times New Roman"/>
                <w:sz w:val="22"/>
                <w:szCs w:val="22"/>
                <w:lang w:val="uk-UA"/>
              </w:rPr>
              <w:t>110,6</w:t>
            </w:r>
            <w:r w:rsidR="00D517D1" w:rsidRPr="00C02974">
              <w:rPr>
                <w:rFonts w:cs="Times New Roman"/>
                <w:sz w:val="22"/>
                <w:szCs w:val="22"/>
              </w:rPr>
              <w:t>%</w:t>
            </w:r>
          </w:p>
        </w:tc>
      </w:tr>
      <w:tr w:rsidR="00D517D1" w:rsidRPr="00C02974" w:rsidTr="002E3F58">
        <w:trPr>
          <w:trHeight w:val="841"/>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Темп зростання (зменшення) імпорту товарів, відсотків до відповідного періоду попереднього року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136,2</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118,1</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105,0</w:t>
            </w:r>
          </w:p>
        </w:tc>
        <w:tc>
          <w:tcPr>
            <w:tcW w:w="1560" w:type="dxa"/>
            <w:vAlign w:val="center"/>
            <w:hideMark/>
          </w:tcPr>
          <w:p w:rsidR="00D517D1" w:rsidRPr="0095178A" w:rsidRDefault="0095178A" w:rsidP="00D517D1">
            <w:pPr>
              <w:jc w:val="center"/>
              <w:rPr>
                <w:rFonts w:cs="Times New Roman"/>
                <w:sz w:val="22"/>
                <w:szCs w:val="22"/>
                <w:lang w:val="uk-UA"/>
              </w:rPr>
            </w:pPr>
            <w:r>
              <w:rPr>
                <w:rFonts w:cs="Times New Roman"/>
                <w:sz w:val="22"/>
                <w:szCs w:val="22"/>
                <w:lang w:val="uk-UA"/>
              </w:rPr>
              <w:t>105,0</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4B00F0" w:rsidRPr="00C02974" w:rsidTr="002E3F58">
        <w:trPr>
          <w:trHeight w:val="413"/>
          <w:jc w:val="center"/>
        </w:trPr>
        <w:tc>
          <w:tcPr>
            <w:tcW w:w="14006" w:type="dxa"/>
            <w:gridSpan w:val="7"/>
            <w:vAlign w:val="center"/>
            <w:hideMark/>
          </w:tcPr>
          <w:p w:rsidR="004B00F0" w:rsidRPr="00C02974" w:rsidRDefault="004B00F0" w:rsidP="004B00F0">
            <w:pPr>
              <w:jc w:val="center"/>
              <w:rPr>
                <w:rFonts w:cs="Times New Roman"/>
                <w:sz w:val="22"/>
                <w:szCs w:val="22"/>
              </w:rPr>
            </w:pPr>
            <w:r w:rsidRPr="00C02974">
              <w:rPr>
                <w:rFonts w:cs="Times New Roman"/>
                <w:b/>
                <w:bCs/>
                <w:sz w:val="22"/>
                <w:szCs w:val="22"/>
                <w:u w:val="single"/>
              </w:rPr>
              <w:t>БУДІВЕЛЬНА ДІЯЛЬНІСТЬ</w:t>
            </w:r>
          </w:p>
        </w:tc>
      </w:tr>
      <w:tr w:rsidR="00D517D1" w:rsidRPr="00C02974" w:rsidTr="002E3F58">
        <w:trPr>
          <w:trHeight w:val="480"/>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виконаних будівельних робіт, всього</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1 031 948,0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1 543 682,0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1 139 439,6</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2 124 707,0</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186,5%</w:t>
            </w:r>
          </w:p>
        </w:tc>
      </w:tr>
      <w:tr w:rsidR="00D517D1" w:rsidRPr="00C02974" w:rsidTr="002E3F58">
        <w:trPr>
          <w:trHeight w:val="497"/>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Обсяг виконаних будівельних робіт у розрахунку на одну особу, всього</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4 124,5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6 096,7</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4 433,6</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8 202,2</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185,0%</w:t>
            </w:r>
          </w:p>
        </w:tc>
      </w:tr>
      <w:tr w:rsidR="00D517D1" w:rsidRPr="00C02974" w:rsidTr="002E3F58">
        <w:trPr>
          <w:trHeight w:val="547"/>
          <w:jc w:val="center"/>
        </w:trPr>
        <w:tc>
          <w:tcPr>
            <w:tcW w:w="4609" w:type="dxa"/>
            <w:hideMark/>
          </w:tcPr>
          <w:p w:rsidR="00D517D1" w:rsidRPr="00C02974" w:rsidRDefault="00D517D1" w:rsidP="0079421C">
            <w:pPr>
              <w:jc w:val="both"/>
              <w:rPr>
                <w:rFonts w:cs="Times New Roman"/>
                <w:sz w:val="22"/>
                <w:szCs w:val="22"/>
              </w:rPr>
            </w:pPr>
            <w:r w:rsidRPr="00C02974">
              <w:rPr>
                <w:rFonts w:cs="Times New Roman"/>
                <w:sz w:val="22"/>
                <w:szCs w:val="22"/>
              </w:rPr>
              <w:t>Індекс будівельної продукції,  відсотків до попереднього року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102,3</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131,9</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105,0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111,5</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31118A">
        <w:trPr>
          <w:trHeight w:val="526"/>
          <w:jc w:val="center"/>
        </w:trPr>
        <w:tc>
          <w:tcPr>
            <w:tcW w:w="4609" w:type="dxa"/>
            <w:hideMark/>
          </w:tcPr>
          <w:p w:rsidR="00D517D1" w:rsidRPr="00C02974" w:rsidRDefault="004B00F0" w:rsidP="00722C63">
            <w:pPr>
              <w:jc w:val="both"/>
              <w:rPr>
                <w:rFonts w:cs="Times New Roman"/>
                <w:sz w:val="22"/>
                <w:szCs w:val="22"/>
              </w:rPr>
            </w:pPr>
            <w:r>
              <w:rPr>
                <w:rFonts w:cs="Times New Roman"/>
                <w:sz w:val="22"/>
                <w:szCs w:val="22"/>
              </w:rPr>
              <w:t>Введення в експлуатацію об</w:t>
            </w:r>
            <w:r>
              <w:rPr>
                <w:rFonts w:cs="Times New Roman"/>
                <w:sz w:val="22"/>
                <w:szCs w:val="22"/>
                <w:lang w:val="uk-UA"/>
              </w:rPr>
              <w:t>ʼ</w:t>
            </w:r>
            <w:r w:rsidR="00D517D1" w:rsidRPr="00C02974">
              <w:rPr>
                <w:rFonts w:cs="Times New Roman"/>
                <w:sz w:val="22"/>
                <w:szCs w:val="22"/>
              </w:rPr>
              <w:t>єктів соціальної сфери за рахунок усіх джерел фінансування:</w:t>
            </w:r>
          </w:p>
        </w:tc>
        <w:tc>
          <w:tcPr>
            <w:tcW w:w="1134" w:type="dxa"/>
            <w:vAlign w:val="center"/>
            <w:hideMark/>
          </w:tcPr>
          <w:p w:rsidR="00D517D1" w:rsidRPr="00C02974" w:rsidRDefault="00D517D1" w:rsidP="00D517D1">
            <w:pPr>
              <w:jc w:val="center"/>
              <w:rPr>
                <w:rFonts w:cs="Times New Roman"/>
                <w:sz w:val="22"/>
                <w:szCs w:val="22"/>
              </w:rPr>
            </w:pPr>
          </w:p>
        </w:tc>
        <w:tc>
          <w:tcPr>
            <w:tcW w:w="1559" w:type="dxa"/>
            <w:vAlign w:val="center"/>
            <w:hideMark/>
          </w:tcPr>
          <w:p w:rsidR="00D517D1" w:rsidRPr="00C02974" w:rsidRDefault="00D517D1" w:rsidP="00D517D1">
            <w:pPr>
              <w:jc w:val="center"/>
              <w:rPr>
                <w:rFonts w:cs="Times New Roman"/>
                <w:sz w:val="22"/>
                <w:szCs w:val="22"/>
              </w:rPr>
            </w:pPr>
          </w:p>
        </w:tc>
        <w:tc>
          <w:tcPr>
            <w:tcW w:w="1418" w:type="dxa"/>
            <w:vAlign w:val="center"/>
            <w:hideMark/>
          </w:tcPr>
          <w:p w:rsidR="00D517D1" w:rsidRPr="00C02974" w:rsidRDefault="00D517D1" w:rsidP="00D517D1">
            <w:pPr>
              <w:jc w:val="center"/>
              <w:rPr>
                <w:rFonts w:cs="Times New Roman"/>
                <w:sz w:val="22"/>
                <w:szCs w:val="22"/>
              </w:rPr>
            </w:pPr>
          </w:p>
        </w:tc>
        <w:tc>
          <w:tcPr>
            <w:tcW w:w="1842" w:type="dxa"/>
            <w:vAlign w:val="center"/>
            <w:hideMark/>
          </w:tcPr>
          <w:p w:rsidR="00D517D1" w:rsidRPr="00C02974" w:rsidRDefault="00D517D1" w:rsidP="00D517D1">
            <w:pPr>
              <w:jc w:val="center"/>
              <w:rPr>
                <w:rFonts w:cs="Times New Roman"/>
                <w:sz w:val="22"/>
                <w:szCs w:val="22"/>
              </w:rPr>
            </w:pPr>
          </w:p>
        </w:tc>
        <w:tc>
          <w:tcPr>
            <w:tcW w:w="1560" w:type="dxa"/>
            <w:vAlign w:val="center"/>
            <w:hideMark/>
          </w:tcPr>
          <w:p w:rsidR="00D517D1" w:rsidRPr="00C02974" w:rsidRDefault="00D517D1" w:rsidP="00D517D1">
            <w:pPr>
              <w:jc w:val="center"/>
              <w:rPr>
                <w:rFonts w:cs="Times New Roman"/>
                <w:sz w:val="22"/>
                <w:szCs w:val="22"/>
              </w:rPr>
            </w:pPr>
          </w:p>
        </w:tc>
        <w:tc>
          <w:tcPr>
            <w:tcW w:w="1884" w:type="dxa"/>
            <w:vAlign w:val="center"/>
            <w:hideMark/>
          </w:tcPr>
          <w:p w:rsidR="00D517D1" w:rsidRPr="00C02974" w:rsidRDefault="00D517D1" w:rsidP="00D517D1">
            <w:pPr>
              <w:jc w:val="center"/>
              <w:rPr>
                <w:rFonts w:cs="Times New Roman"/>
                <w:sz w:val="22"/>
                <w:szCs w:val="22"/>
              </w:rPr>
            </w:pPr>
          </w:p>
        </w:tc>
      </w:tr>
      <w:tr w:rsidR="00D517D1" w:rsidRPr="00C02974" w:rsidTr="002E3F58">
        <w:trPr>
          <w:trHeight w:val="510"/>
          <w:jc w:val="center"/>
        </w:trPr>
        <w:tc>
          <w:tcPr>
            <w:tcW w:w="4609" w:type="dxa"/>
            <w:hideMark/>
          </w:tcPr>
          <w:p w:rsidR="00D517D1" w:rsidRPr="00C02974" w:rsidRDefault="00D517D1" w:rsidP="00667AFF">
            <w:pPr>
              <w:rPr>
                <w:rFonts w:cs="Times New Roman"/>
                <w:sz w:val="22"/>
                <w:szCs w:val="22"/>
              </w:rPr>
            </w:pPr>
            <w:r w:rsidRPr="00C02974">
              <w:rPr>
                <w:rFonts w:cs="Times New Roman"/>
                <w:sz w:val="22"/>
                <w:szCs w:val="22"/>
              </w:rPr>
              <w:t>Загальна площа житла</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кв.м</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124,7</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218,3</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230,0</w:t>
            </w:r>
          </w:p>
        </w:tc>
        <w:tc>
          <w:tcPr>
            <w:tcW w:w="1560" w:type="dxa"/>
            <w:vAlign w:val="center"/>
            <w:hideMark/>
          </w:tcPr>
          <w:p w:rsidR="00D517D1" w:rsidRPr="00722C63" w:rsidRDefault="00D517D1" w:rsidP="00D517D1">
            <w:pPr>
              <w:jc w:val="center"/>
              <w:rPr>
                <w:rFonts w:cs="Times New Roman"/>
                <w:sz w:val="22"/>
                <w:szCs w:val="22"/>
                <w:lang w:val="uk-UA"/>
              </w:rPr>
            </w:pPr>
            <w:r w:rsidRPr="00C02974">
              <w:rPr>
                <w:rFonts w:cs="Times New Roman"/>
                <w:sz w:val="22"/>
                <w:szCs w:val="22"/>
              </w:rPr>
              <w:t>59,8</w:t>
            </w:r>
            <w:r w:rsidR="00722C63">
              <w:rPr>
                <w:rFonts w:cs="Times New Roman"/>
                <w:sz w:val="22"/>
                <w:szCs w:val="22"/>
                <w:lang w:val="uk-UA"/>
              </w:rPr>
              <w:t>*</w:t>
            </w:r>
          </w:p>
        </w:tc>
        <w:tc>
          <w:tcPr>
            <w:tcW w:w="1884" w:type="dxa"/>
            <w:vAlign w:val="center"/>
            <w:hideMark/>
          </w:tcPr>
          <w:p w:rsidR="00D517D1" w:rsidRPr="00F07120" w:rsidRDefault="00F07120" w:rsidP="00D517D1">
            <w:pPr>
              <w:jc w:val="center"/>
              <w:rPr>
                <w:rFonts w:cs="Times New Roman"/>
                <w:sz w:val="22"/>
                <w:szCs w:val="22"/>
                <w:lang w:val="uk-UA"/>
              </w:rPr>
            </w:pPr>
            <w:r>
              <w:rPr>
                <w:rFonts w:cs="Times New Roman"/>
                <w:sz w:val="22"/>
                <w:szCs w:val="22"/>
                <w:lang w:val="uk-UA"/>
              </w:rPr>
              <w:t>х</w:t>
            </w:r>
          </w:p>
        </w:tc>
      </w:tr>
      <w:tr w:rsidR="00D517D1" w:rsidRPr="00C02974" w:rsidTr="002E3F58">
        <w:trPr>
          <w:trHeight w:val="534"/>
          <w:jc w:val="center"/>
        </w:trPr>
        <w:tc>
          <w:tcPr>
            <w:tcW w:w="4609" w:type="dxa"/>
            <w:hideMark/>
          </w:tcPr>
          <w:p w:rsidR="00D517D1" w:rsidRPr="00C02974" w:rsidRDefault="00D517D1" w:rsidP="00667AFF">
            <w:pPr>
              <w:rPr>
                <w:rFonts w:cs="Times New Roman"/>
                <w:sz w:val="22"/>
                <w:szCs w:val="22"/>
              </w:rPr>
            </w:pPr>
            <w:r w:rsidRPr="00C02974">
              <w:rPr>
                <w:rFonts w:cs="Times New Roman"/>
                <w:sz w:val="22"/>
                <w:szCs w:val="22"/>
              </w:rPr>
              <w:t>Загальноосвітні навчальні заклади</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К-сть/уч. місць</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60" w:type="dxa"/>
            <w:vAlign w:val="center"/>
            <w:hideMark/>
          </w:tcPr>
          <w:p w:rsidR="00D517D1" w:rsidRPr="00C02974" w:rsidRDefault="00D517D1" w:rsidP="00D517D1">
            <w:pPr>
              <w:jc w:val="center"/>
              <w:rPr>
                <w:rFonts w:cs="Times New Roman"/>
                <w:sz w:val="22"/>
                <w:szCs w:val="22"/>
              </w:rPr>
            </w:pP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572"/>
          <w:jc w:val="center"/>
        </w:trPr>
        <w:tc>
          <w:tcPr>
            <w:tcW w:w="4609" w:type="dxa"/>
            <w:hideMark/>
          </w:tcPr>
          <w:p w:rsidR="00D517D1" w:rsidRPr="00C02974" w:rsidRDefault="00D517D1" w:rsidP="00667AFF">
            <w:pPr>
              <w:rPr>
                <w:rFonts w:cs="Times New Roman"/>
                <w:sz w:val="22"/>
                <w:szCs w:val="22"/>
              </w:rPr>
            </w:pPr>
            <w:r w:rsidRPr="00C02974">
              <w:rPr>
                <w:rFonts w:cs="Times New Roman"/>
                <w:sz w:val="22"/>
                <w:szCs w:val="22"/>
              </w:rPr>
              <w:t xml:space="preserve">Дитячі дошкільні  заклади </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К-сть/  місць</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1/210</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3/320</w:t>
            </w:r>
          </w:p>
        </w:tc>
        <w:tc>
          <w:tcPr>
            <w:tcW w:w="1560"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1/95</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30,0%</w:t>
            </w:r>
          </w:p>
        </w:tc>
      </w:tr>
      <w:tr w:rsidR="00D517D1" w:rsidRPr="00C02974" w:rsidTr="002E3F58">
        <w:trPr>
          <w:trHeight w:val="483"/>
          <w:jc w:val="center"/>
        </w:trPr>
        <w:tc>
          <w:tcPr>
            <w:tcW w:w="4609" w:type="dxa"/>
            <w:hideMark/>
          </w:tcPr>
          <w:p w:rsidR="00D517D1" w:rsidRPr="00C02974" w:rsidRDefault="00D517D1" w:rsidP="00667AFF">
            <w:pPr>
              <w:rPr>
                <w:rFonts w:cs="Times New Roman"/>
                <w:sz w:val="22"/>
                <w:szCs w:val="22"/>
              </w:rPr>
            </w:pPr>
            <w:r w:rsidRPr="00C02974">
              <w:rPr>
                <w:rFonts w:cs="Times New Roman"/>
                <w:sz w:val="22"/>
                <w:szCs w:val="22"/>
              </w:rPr>
              <w:t>Лікарні</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К-сть/  ліжок</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60"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918"/>
          <w:jc w:val="center"/>
        </w:trPr>
        <w:tc>
          <w:tcPr>
            <w:tcW w:w="4609" w:type="dxa"/>
            <w:hideMark/>
          </w:tcPr>
          <w:p w:rsidR="00D517D1" w:rsidRPr="00C02974" w:rsidRDefault="00D517D1" w:rsidP="00667AFF">
            <w:pPr>
              <w:rPr>
                <w:rFonts w:cs="Times New Roman"/>
                <w:sz w:val="22"/>
                <w:szCs w:val="22"/>
              </w:rPr>
            </w:pPr>
            <w:r w:rsidRPr="00C02974">
              <w:rPr>
                <w:rFonts w:cs="Times New Roman"/>
                <w:sz w:val="22"/>
                <w:szCs w:val="22"/>
              </w:rPr>
              <w:lastRenderedPageBreak/>
              <w:t>Амбулаторно-поліклінічні заклади</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К-сть/ відвід.   за зміну</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/10</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60"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563"/>
          <w:jc w:val="center"/>
        </w:trPr>
        <w:tc>
          <w:tcPr>
            <w:tcW w:w="4609" w:type="dxa"/>
            <w:hideMark/>
          </w:tcPr>
          <w:p w:rsidR="00D517D1" w:rsidRPr="00C02974" w:rsidRDefault="00D517D1" w:rsidP="00667AFF">
            <w:pPr>
              <w:rPr>
                <w:rFonts w:cs="Times New Roman"/>
                <w:sz w:val="22"/>
                <w:szCs w:val="22"/>
              </w:rPr>
            </w:pPr>
            <w:r w:rsidRPr="00C02974">
              <w:rPr>
                <w:rFonts w:cs="Times New Roman"/>
                <w:sz w:val="22"/>
                <w:szCs w:val="22"/>
              </w:rPr>
              <w:t>Клуби та будинки культури</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К-сть/  місць</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60"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259"/>
          <w:jc w:val="center"/>
        </w:trPr>
        <w:tc>
          <w:tcPr>
            <w:tcW w:w="4609" w:type="dxa"/>
            <w:hideMark/>
          </w:tcPr>
          <w:p w:rsidR="00D517D1" w:rsidRPr="00C02974" w:rsidRDefault="00D517D1" w:rsidP="00667AFF">
            <w:pPr>
              <w:rPr>
                <w:rFonts w:cs="Times New Roman"/>
                <w:sz w:val="22"/>
                <w:szCs w:val="22"/>
              </w:rPr>
            </w:pPr>
            <w:r w:rsidRPr="00C02974">
              <w:rPr>
                <w:rFonts w:cs="Times New Roman"/>
                <w:sz w:val="22"/>
                <w:szCs w:val="22"/>
              </w:rPr>
              <w:t>Газові  мережі</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пог. м</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60"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796"/>
          <w:jc w:val="center"/>
        </w:trPr>
        <w:tc>
          <w:tcPr>
            <w:tcW w:w="4609" w:type="dxa"/>
            <w:hideMark/>
          </w:tcPr>
          <w:p w:rsidR="00D517D1" w:rsidRPr="00C02974" w:rsidRDefault="00D517D1" w:rsidP="00722C63">
            <w:pPr>
              <w:jc w:val="both"/>
              <w:rPr>
                <w:rFonts w:cs="Times New Roman"/>
                <w:sz w:val="22"/>
                <w:szCs w:val="22"/>
              </w:rPr>
            </w:pPr>
            <w:r w:rsidRPr="00C02974">
              <w:rPr>
                <w:rFonts w:cs="Times New Roman"/>
                <w:sz w:val="22"/>
                <w:szCs w:val="22"/>
              </w:rPr>
              <w:t>Темп зростання (зменшення) обсягу прийняття в експлуатацію житла, відсотків до відповідного періоду минулого року</w:t>
            </w:r>
          </w:p>
        </w:tc>
        <w:tc>
          <w:tcPr>
            <w:tcW w:w="113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31,3</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210,0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105,4</w:t>
            </w:r>
          </w:p>
        </w:tc>
        <w:tc>
          <w:tcPr>
            <w:tcW w:w="1560" w:type="dxa"/>
            <w:vAlign w:val="center"/>
            <w:hideMark/>
          </w:tcPr>
          <w:p w:rsidR="00D517D1" w:rsidRPr="00722C63" w:rsidRDefault="00D517D1" w:rsidP="00D517D1">
            <w:pPr>
              <w:jc w:val="center"/>
              <w:rPr>
                <w:rFonts w:cs="Times New Roman"/>
                <w:sz w:val="22"/>
                <w:szCs w:val="22"/>
                <w:lang w:val="uk-UA"/>
              </w:rPr>
            </w:pPr>
            <w:r w:rsidRPr="00C02974">
              <w:rPr>
                <w:rFonts w:cs="Times New Roman"/>
                <w:sz w:val="22"/>
                <w:szCs w:val="22"/>
              </w:rPr>
              <w:t>38,1</w:t>
            </w:r>
            <w:r w:rsidR="00722C63">
              <w:rPr>
                <w:rFonts w:cs="Times New Roman"/>
                <w:sz w:val="22"/>
                <w:szCs w:val="22"/>
                <w:lang w:val="uk-UA"/>
              </w:rPr>
              <w:t>*</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567"/>
          <w:jc w:val="center"/>
        </w:trPr>
        <w:tc>
          <w:tcPr>
            <w:tcW w:w="4609" w:type="dxa"/>
            <w:hideMark/>
          </w:tcPr>
          <w:p w:rsidR="00D517D1" w:rsidRPr="00C02974" w:rsidRDefault="00D517D1" w:rsidP="00722C63">
            <w:pPr>
              <w:jc w:val="both"/>
              <w:rPr>
                <w:rFonts w:cs="Times New Roman"/>
                <w:sz w:val="22"/>
                <w:szCs w:val="22"/>
              </w:rPr>
            </w:pPr>
            <w:r w:rsidRPr="00C02974">
              <w:rPr>
                <w:rFonts w:cs="Times New Roman"/>
                <w:sz w:val="22"/>
                <w:szCs w:val="22"/>
              </w:rPr>
              <w:t>Обсяг прийнятого в експлуатацію житла у розрахунку на 10 тис.населення</w:t>
            </w:r>
          </w:p>
        </w:tc>
        <w:tc>
          <w:tcPr>
            <w:tcW w:w="113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м</w:t>
            </w:r>
            <w:r w:rsidRPr="00C02974">
              <w:rPr>
                <w:rFonts w:cs="Times New Roman"/>
                <w:sz w:val="22"/>
                <w:szCs w:val="22"/>
                <w:vertAlign w:val="superscript"/>
              </w:rPr>
              <w:t>2</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4983,3</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8 622,0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8 949,4</w:t>
            </w:r>
          </w:p>
        </w:tc>
        <w:tc>
          <w:tcPr>
            <w:tcW w:w="1560" w:type="dxa"/>
            <w:vAlign w:val="center"/>
            <w:hideMark/>
          </w:tcPr>
          <w:p w:rsidR="00D517D1" w:rsidRPr="00722C63" w:rsidRDefault="00D517D1" w:rsidP="00D517D1">
            <w:pPr>
              <w:jc w:val="center"/>
              <w:rPr>
                <w:rFonts w:cs="Times New Roman"/>
                <w:sz w:val="22"/>
                <w:szCs w:val="22"/>
                <w:lang w:val="uk-UA"/>
              </w:rPr>
            </w:pPr>
            <w:r w:rsidRPr="00C02974">
              <w:rPr>
                <w:rFonts w:cs="Times New Roman"/>
                <w:sz w:val="22"/>
                <w:szCs w:val="22"/>
              </w:rPr>
              <w:t>2 360,8</w:t>
            </w:r>
            <w:r w:rsidR="00722C63">
              <w:rPr>
                <w:rFonts w:cs="Times New Roman"/>
                <w:sz w:val="22"/>
                <w:szCs w:val="22"/>
                <w:lang w:val="uk-UA"/>
              </w:rPr>
              <w:t>*</w:t>
            </w:r>
          </w:p>
        </w:tc>
        <w:tc>
          <w:tcPr>
            <w:tcW w:w="1884" w:type="dxa"/>
            <w:vAlign w:val="center"/>
            <w:hideMark/>
          </w:tcPr>
          <w:p w:rsidR="00D517D1" w:rsidRPr="00F07120" w:rsidRDefault="00F07120" w:rsidP="00D517D1">
            <w:pPr>
              <w:jc w:val="center"/>
              <w:rPr>
                <w:rFonts w:cs="Times New Roman"/>
                <w:sz w:val="22"/>
                <w:szCs w:val="22"/>
                <w:lang w:val="uk-UA"/>
              </w:rPr>
            </w:pPr>
            <w:r>
              <w:rPr>
                <w:rFonts w:cs="Times New Roman"/>
                <w:sz w:val="22"/>
                <w:szCs w:val="22"/>
                <w:lang w:val="uk-UA"/>
              </w:rPr>
              <w:t>х</w:t>
            </w:r>
          </w:p>
        </w:tc>
      </w:tr>
      <w:tr w:rsidR="00DE39AC" w:rsidRPr="00C02974" w:rsidTr="002E3F58">
        <w:trPr>
          <w:trHeight w:val="405"/>
          <w:jc w:val="center"/>
        </w:trPr>
        <w:tc>
          <w:tcPr>
            <w:tcW w:w="14006" w:type="dxa"/>
            <w:gridSpan w:val="7"/>
            <w:vAlign w:val="center"/>
            <w:hideMark/>
          </w:tcPr>
          <w:p w:rsidR="00DE39AC" w:rsidRPr="00C02974" w:rsidRDefault="00DE39AC" w:rsidP="00DE39AC">
            <w:pPr>
              <w:jc w:val="center"/>
              <w:rPr>
                <w:rFonts w:cs="Times New Roman"/>
                <w:sz w:val="22"/>
                <w:szCs w:val="22"/>
              </w:rPr>
            </w:pPr>
            <w:r w:rsidRPr="00C02974">
              <w:rPr>
                <w:rFonts w:cs="Times New Roman"/>
                <w:b/>
                <w:bCs/>
                <w:sz w:val="22"/>
                <w:szCs w:val="22"/>
                <w:u w:val="single"/>
              </w:rPr>
              <w:t>ЖИТЛОВО-КОМУНАЛЬНЕ ГОСПОДАРСТВО</w:t>
            </w:r>
          </w:p>
        </w:tc>
      </w:tr>
      <w:tr w:rsidR="00D517D1" w:rsidRPr="00C02974" w:rsidTr="002E3F58">
        <w:trPr>
          <w:trHeight w:val="569"/>
          <w:jc w:val="center"/>
        </w:trPr>
        <w:tc>
          <w:tcPr>
            <w:tcW w:w="4609" w:type="dxa"/>
            <w:hideMark/>
          </w:tcPr>
          <w:p w:rsidR="00D517D1" w:rsidRPr="00C02974" w:rsidRDefault="00D517D1" w:rsidP="00722C63">
            <w:pPr>
              <w:jc w:val="both"/>
              <w:rPr>
                <w:rFonts w:cs="Times New Roman"/>
                <w:sz w:val="22"/>
                <w:szCs w:val="22"/>
              </w:rPr>
            </w:pPr>
            <w:r w:rsidRPr="00C02974">
              <w:rPr>
                <w:rFonts w:cs="Times New Roman"/>
                <w:sz w:val="22"/>
                <w:szCs w:val="22"/>
              </w:rPr>
              <w:t xml:space="preserve">Забезпеченість населення житлом, м2 загальної площі в середньому на одну особу  </w:t>
            </w:r>
          </w:p>
        </w:tc>
        <w:tc>
          <w:tcPr>
            <w:tcW w:w="113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м</w:t>
            </w:r>
            <w:r w:rsidRPr="00C02974">
              <w:rPr>
                <w:rFonts w:cs="Times New Roman"/>
                <w:sz w:val="22"/>
                <w:szCs w:val="22"/>
                <w:vertAlign w:val="superscript"/>
              </w:rPr>
              <w:t>2</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27,2</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28,4</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29,4</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будуть у ІІ півріччі 2019р.</w:t>
            </w:r>
          </w:p>
        </w:tc>
        <w:tc>
          <w:tcPr>
            <w:tcW w:w="1884" w:type="dxa"/>
            <w:vAlign w:val="center"/>
            <w:hideMark/>
          </w:tcPr>
          <w:p w:rsidR="00D517D1" w:rsidRPr="00C02974" w:rsidRDefault="00D517D1" w:rsidP="00D517D1">
            <w:pPr>
              <w:jc w:val="center"/>
              <w:rPr>
                <w:rFonts w:cs="Times New Roman"/>
                <w:sz w:val="22"/>
                <w:szCs w:val="22"/>
              </w:rPr>
            </w:pPr>
          </w:p>
        </w:tc>
      </w:tr>
      <w:tr w:rsidR="00DE39AC" w:rsidRPr="00C02974" w:rsidTr="002E3F58">
        <w:trPr>
          <w:trHeight w:val="409"/>
          <w:jc w:val="center"/>
        </w:trPr>
        <w:tc>
          <w:tcPr>
            <w:tcW w:w="14006" w:type="dxa"/>
            <w:gridSpan w:val="7"/>
            <w:vAlign w:val="center"/>
            <w:hideMark/>
          </w:tcPr>
          <w:p w:rsidR="00DE39AC" w:rsidRPr="00C02974" w:rsidRDefault="00DE39AC" w:rsidP="00DE39AC">
            <w:pPr>
              <w:jc w:val="center"/>
              <w:rPr>
                <w:rFonts w:cs="Times New Roman"/>
                <w:sz w:val="22"/>
                <w:szCs w:val="22"/>
              </w:rPr>
            </w:pPr>
            <w:r w:rsidRPr="00C02974">
              <w:rPr>
                <w:rFonts w:cs="Times New Roman"/>
                <w:b/>
                <w:bCs/>
                <w:sz w:val="22"/>
                <w:szCs w:val="22"/>
                <w:u w:val="single"/>
              </w:rPr>
              <w:t>НАСЕЛЕННЯ ТА РИНОК ПРАЦІ</w:t>
            </w:r>
          </w:p>
        </w:tc>
      </w:tr>
      <w:tr w:rsidR="00D517D1" w:rsidRPr="00C02974" w:rsidTr="002E3F58">
        <w:trPr>
          <w:trHeight w:val="530"/>
          <w:jc w:val="center"/>
        </w:trPr>
        <w:tc>
          <w:tcPr>
            <w:tcW w:w="4609" w:type="dxa"/>
            <w:hideMark/>
          </w:tcPr>
          <w:p w:rsidR="00D517D1" w:rsidRPr="00C02974" w:rsidRDefault="00D517D1" w:rsidP="00722C63">
            <w:pPr>
              <w:jc w:val="both"/>
              <w:rPr>
                <w:rFonts w:cs="Times New Roman"/>
                <w:sz w:val="22"/>
                <w:szCs w:val="22"/>
              </w:rPr>
            </w:pPr>
            <w:r w:rsidRPr="00C02974">
              <w:rPr>
                <w:rFonts w:cs="Times New Roman"/>
                <w:sz w:val="22"/>
                <w:szCs w:val="22"/>
              </w:rPr>
              <w:t>Середноьорічна чисельність наявного населення</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осіб</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253,0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256,0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257,0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259,0</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101%</w:t>
            </w:r>
          </w:p>
        </w:tc>
      </w:tr>
      <w:tr w:rsidR="00D517D1" w:rsidRPr="00C02974" w:rsidTr="002E3F58">
        <w:trPr>
          <w:trHeight w:val="530"/>
          <w:jc w:val="center"/>
        </w:trPr>
        <w:tc>
          <w:tcPr>
            <w:tcW w:w="4609" w:type="dxa"/>
            <w:hideMark/>
          </w:tcPr>
          <w:p w:rsidR="00D517D1" w:rsidRPr="00C02974" w:rsidRDefault="00D517D1" w:rsidP="00667AFF">
            <w:pPr>
              <w:rPr>
                <w:rFonts w:cs="Times New Roman"/>
                <w:sz w:val="22"/>
                <w:szCs w:val="22"/>
              </w:rPr>
            </w:pPr>
            <w:r w:rsidRPr="00C02974">
              <w:rPr>
                <w:rFonts w:cs="Times New Roman"/>
                <w:sz w:val="22"/>
                <w:szCs w:val="22"/>
              </w:rPr>
              <w:t>Навантаження незайнятого населення на одне вільне робоче місце (вакансій)</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осіб</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1,7</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1,5</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3,0</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200%</w:t>
            </w:r>
          </w:p>
        </w:tc>
      </w:tr>
      <w:tr w:rsidR="00DE39AC" w:rsidRPr="00C02974" w:rsidTr="002E3F58">
        <w:trPr>
          <w:trHeight w:val="410"/>
          <w:jc w:val="center"/>
        </w:trPr>
        <w:tc>
          <w:tcPr>
            <w:tcW w:w="14006" w:type="dxa"/>
            <w:gridSpan w:val="7"/>
            <w:vAlign w:val="center"/>
            <w:hideMark/>
          </w:tcPr>
          <w:p w:rsidR="00DE39AC" w:rsidRPr="00C02974" w:rsidRDefault="00DE39AC" w:rsidP="00DE39AC">
            <w:pPr>
              <w:jc w:val="center"/>
              <w:rPr>
                <w:rFonts w:cs="Times New Roman"/>
                <w:sz w:val="22"/>
                <w:szCs w:val="22"/>
              </w:rPr>
            </w:pPr>
            <w:r w:rsidRPr="00C02974">
              <w:rPr>
                <w:rFonts w:cs="Times New Roman"/>
                <w:b/>
                <w:bCs/>
                <w:sz w:val="22"/>
                <w:szCs w:val="22"/>
                <w:u w:val="single"/>
              </w:rPr>
              <w:t>ПОКАЗНИКИ РІВНЯ ЖИТТЯ</w:t>
            </w:r>
          </w:p>
        </w:tc>
      </w:tr>
      <w:tr w:rsidR="00D517D1" w:rsidRPr="00C02974" w:rsidTr="002E3F58">
        <w:trPr>
          <w:trHeight w:val="415"/>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Середньомісячна заробітна плата одного штатного працівника</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4 371</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6 205</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7 185</w:t>
            </w:r>
          </w:p>
        </w:tc>
        <w:tc>
          <w:tcPr>
            <w:tcW w:w="1560" w:type="dxa"/>
            <w:vAlign w:val="center"/>
            <w:hideMark/>
          </w:tcPr>
          <w:p w:rsidR="00D517D1" w:rsidRPr="00722C63" w:rsidRDefault="00D517D1" w:rsidP="00D517D1">
            <w:pPr>
              <w:jc w:val="center"/>
              <w:rPr>
                <w:rFonts w:cs="Times New Roman"/>
                <w:sz w:val="22"/>
                <w:szCs w:val="22"/>
                <w:lang w:val="uk-UA"/>
              </w:rPr>
            </w:pPr>
            <w:r w:rsidRPr="00C02974">
              <w:rPr>
                <w:rFonts w:cs="Times New Roman"/>
                <w:sz w:val="22"/>
                <w:szCs w:val="22"/>
              </w:rPr>
              <w:t>7 966,0</w:t>
            </w:r>
            <w:r w:rsidR="00722C63">
              <w:rPr>
                <w:rFonts w:cs="Times New Roman"/>
                <w:sz w:val="22"/>
                <w:szCs w:val="22"/>
                <w:lang w:val="uk-UA"/>
              </w:rPr>
              <w:t>*</w:t>
            </w:r>
          </w:p>
        </w:tc>
        <w:tc>
          <w:tcPr>
            <w:tcW w:w="1884" w:type="dxa"/>
            <w:vAlign w:val="center"/>
            <w:hideMark/>
          </w:tcPr>
          <w:p w:rsidR="00D517D1" w:rsidRPr="00F07120" w:rsidRDefault="00F07120" w:rsidP="00D517D1">
            <w:pPr>
              <w:jc w:val="center"/>
              <w:rPr>
                <w:rFonts w:cs="Times New Roman"/>
                <w:sz w:val="22"/>
                <w:szCs w:val="22"/>
                <w:lang w:val="uk-UA"/>
              </w:rPr>
            </w:pPr>
            <w:r>
              <w:rPr>
                <w:rFonts w:cs="Times New Roman"/>
                <w:sz w:val="22"/>
                <w:szCs w:val="22"/>
                <w:lang w:val="uk-UA"/>
              </w:rPr>
              <w:t>х</w:t>
            </w:r>
          </w:p>
        </w:tc>
      </w:tr>
      <w:tr w:rsidR="00D517D1" w:rsidRPr="00C02974" w:rsidTr="002E3F58">
        <w:trPr>
          <w:trHeight w:val="464"/>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Темп росту середньомісячної заробітної плати (у % до попереднього року)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125,0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142,0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115,0</w:t>
            </w:r>
          </w:p>
        </w:tc>
        <w:tc>
          <w:tcPr>
            <w:tcW w:w="1560" w:type="dxa"/>
            <w:vAlign w:val="center"/>
            <w:hideMark/>
          </w:tcPr>
          <w:p w:rsidR="00D517D1" w:rsidRPr="00722C63" w:rsidRDefault="00D517D1" w:rsidP="00D517D1">
            <w:pPr>
              <w:jc w:val="center"/>
              <w:rPr>
                <w:rFonts w:cs="Times New Roman"/>
                <w:sz w:val="22"/>
                <w:szCs w:val="22"/>
                <w:lang w:val="uk-UA"/>
              </w:rPr>
            </w:pPr>
            <w:r w:rsidRPr="00C02974">
              <w:rPr>
                <w:rFonts w:cs="Times New Roman"/>
                <w:sz w:val="22"/>
                <w:szCs w:val="22"/>
              </w:rPr>
              <w:t>125,0</w:t>
            </w:r>
            <w:r w:rsidR="00722C63">
              <w:rPr>
                <w:rFonts w:cs="Times New Roman"/>
                <w:sz w:val="22"/>
                <w:szCs w:val="22"/>
                <w:lang w:val="uk-UA"/>
              </w:rPr>
              <w:t>*</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798"/>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Заборгованість із виплати заробітної плати (на 1 число місяця, наступного за звітним періодом),  всього</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4 800,3</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17 009,0</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8 103,1</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16 073,5</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198%</w:t>
            </w:r>
          </w:p>
        </w:tc>
      </w:tr>
      <w:tr w:rsidR="00D517D1" w:rsidRPr="00C02974" w:rsidTr="002E3F58">
        <w:trPr>
          <w:trHeight w:val="838"/>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lastRenderedPageBreak/>
              <w:t>Темп зростання (зниження) заборгованості з виплати заробітної плати у відсотках до початку звітного року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156,5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354,3</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64,8</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94,5</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991"/>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Заборгованість з виплати заробітної плати економічно активних підприємств (на 1число місяця, наступного за звітним періодом),  всього</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 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259,0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5 411,6</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2 682,2</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964"/>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Темп зростання (зниження) заборгованості з виплати заробітної плати на економічно активних підприємствах  у відсотках до початку звітного року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1 580,0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2 089,4</w:t>
            </w:r>
          </w:p>
        </w:tc>
        <w:tc>
          <w:tcPr>
            <w:tcW w:w="1842" w:type="dxa"/>
            <w:vAlign w:val="center"/>
            <w:hideMark/>
          </w:tcPr>
          <w:p w:rsidR="00D517D1" w:rsidRPr="00C02974" w:rsidRDefault="00D517D1" w:rsidP="00D517D1">
            <w:pPr>
              <w:jc w:val="center"/>
              <w:rPr>
                <w:rFonts w:cs="Times New Roman"/>
                <w:sz w:val="22"/>
                <w:szCs w:val="22"/>
              </w:rPr>
            </w:pP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49,6</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497"/>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Середній розмір пенсійних виплат (на кінець звітного періоду)</w:t>
            </w:r>
          </w:p>
        </w:tc>
        <w:tc>
          <w:tcPr>
            <w:tcW w:w="113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грн.</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1 770,4</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2 384,8</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2 433,5</w:t>
            </w:r>
          </w:p>
        </w:tc>
        <w:tc>
          <w:tcPr>
            <w:tcW w:w="1560"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2 467,7</w:t>
            </w:r>
          </w:p>
        </w:tc>
        <w:tc>
          <w:tcPr>
            <w:tcW w:w="188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101,4%</w:t>
            </w:r>
          </w:p>
        </w:tc>
      </w:tr>
      <w:tr w:rsidR="00D517D1" w:rsidRPr="00C02974" w:rsidTr="002E3F58">
        <w:trPr>
          <w:trHeight w:val="547"/>
          <w:jc w:val="center"/>
        </w:trPr>
        <w:tc>
          <w:tcPr>
            <w:tcW w:w="4609" w:type="dxa"/>
            <w:hideMark/>
          </w:tcPr>
          <w:p w:rsidR="00D517D1" w:rsidRPr="00DE39AC" w:rsidRDefault="00D517D1" w:rsidP="000F484C">
            <w:pPr>
              <w:jc w:val="both"/>
              <w:rPr>
                <w:rFonts w:cs="Times New Roman"/>
                <w:sz w:val="22"/>
                <w:szCs w:val="22"/>
                <w:lang w:val="uk-UA"/>
              </w:rPr>
            </w:pPr>
            <w:r w:rsidRPr="00DE39AC">
              <w:rPr>
                <w:rFonts w:cs="Times New Roman"/>
                <w:sz w:val="22"/>
                <w:szCs w:val="22"/>
                <w:lang w:val="uk-UA"/>
              </w:rPr>
              <w:t>Кількість осіб, застрахованих в системі ЗОДСС (на кінець звітного періоду)</w:t>
            </w:r>
          </w:p>
        </w:tc>
        <w:tc>
          <w:tcPr>
            <w:tcW w:w="113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тис.осіб</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118,6</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93,9</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118,6</w:t>
            </w:r>
          </w:p>
        </w:tc>
        <w:tc>
          <w:tcPr>
            <w:tcW w:w="1560"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99,3</w:t>
            </w:r>
          </w:p>
        </w:tc>
        <w:tc>
          <w:tcPr>
            <w:tcW w:w="188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83,7%</w:t>
            </w:r>
          </w:p>
        </w:tc>
      </w:tr>
      <w:tr w:rsidR="00D517D1" w:rsidRPr="00C02974" w:rsidTr="002E3F58">
        <w:trPr>
          <w:trHeight w:val="427"/>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Темп росту кількості застрахованих осіб (до початку року)</w:t>
            </w:r>
          </w:p>
        </w:tc>
        <w:tc>
          <w:tcPr>
            <w:tcW w:w="113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79,2</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100,2</w:t>
            </w:r>
          </w:p>
        </w:tc>
        <w:tc>
          <w:tcPr>
            <w:tcW w:w="1560"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105,7</w:t>
            </w:r>
          </w:p>
        </w:tc>
        <w:tc>
          <w:tcPr>
            <w:tcW w:w="188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E39AC" w:rsidRPr="00C02974" w:rsidTr="002E3F58">
        <w:trPr>
          <w:trHeight w:val="335"/>
          <w:jc w:val="center"/>
        </w:trPr>
        <w:tc>
          <w:tcPr>
            <w:tcW w:w="14006" w:type="dxa"/>
            <w:gridSpan w:val="7"/>
            <w:vAlign w:val="center"/>
            <w:hideMark/>
          </w:tcPr>
          <w:p w:rsidR="00DE39AC" w:rsidRPr="00C02974" w:rsidRDefault="00DE39AC" w:rsidP="00DE39AC">
            <w:pPr>
              <w:jc w:val="center"/>
              <w:rPr>
                <w:rFonts w:cs="Times New Roman"/>
                <w:sz w:val="22"/>
                <w:szCs w:val="22"/>
              </w:rPr>
            </w:pPr>
            <w:r w:rsidRPr="00C02974">
              <w:rPr>
                <w:rFonts w:cs="Times New Roman"/>
                <w:b/>
                <w:bCs/>
                <w:sz w:val="22"/>
                <w:szCs w:val="22"/>
                <w:u w:val="single"/>
              </w:rPr>
              <w:t>ОСВІТА</w:t>
            </w:r>
          </w:p>
        </w:tc>
      </w:tr>
      <w:tr w:rsidR="00D517D1" w:rsidRPr="00C02974" w:rsidTr="0031118A">
        <w:trPr>
          <w:trHeight w:val="668"/>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Охоплення дітей дошкільного віку дошкільною освітою</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66</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68</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70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будуть у травні 2019р.</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E39AC" w:rsidRPr="00C02974" w:rsidTr="0031118A">
        <w:trPr>
          <w:trHeight w:val="690"/>
          <w:jc w:val="center"/>
        </w:trPr>
        <w:tc>
          <w:tcPr>
            <w:tcW w:w="14006" w:type="dxa"/>
            <w:gridSpan w:val="7"/>
            <w:vAlign w:val="center"/>
            <w:hideMark/>
          </w:tcPr>
          <w:p w:rsidR="00DE39AC" w:rsidRPr="00C02974" w:rsidRDefault="00DE39AC" w:rsidP="00DE39AC">
            <w:pPr>
              <w:jc w:val="center"/>
              <w:rPr>
                <w:rFonts w:cs="Times New Roman"/>
                <w:sz w:val="22"/>
                <w:szCs w:val="22"/>
              </w:rPr>
            </w:pPr>
            <w:r w:rsidRPr="00C02974">
              <w:rPr>
                <w:rFonts w:cs="Times New Roman"/>
                <w:b/>
                <w:bCs/>
                <w:sz w:val="22"/>
                <w:szCs w:val="22"/>
                <w:u w:val="single"/>
              </w:rPr>
              <w:t>ТУРИЗМ</w:t>
            </w:r>
          </w:p>
        </w:tc>
      </w:tr>
      <w:tr w:rsidR="00D517D1" w:rsidRPr="00C02974" w:rsidTr="002E3F58">
        <w:trPr>
          <w:trHeight w:val="410"/>
          <w:jc w:val="center"/>
        </w:trPr>
        <w:tc>
          <w:tcPr>
            <w:tcW w:w="4609" w:type="dxa"/>
            <w:noWrap/>
            <w:hideMark/>
          </w:tcPr>
          <w:p w:rsidR="00D517D1" w:rsidRPr="00C02974" w:rsidRDefault="00D517D1" w:rsidP="00667AFF">
            <w:pPr>
              <w:rPr>
                <w:rFonts w:cs="Times New Roman"/>
                <w:sz w:val="22"/>
                <w:szCs w:val="22"/>
              </w:rPr>
            </w:pPr>
            <w:r w:rsidRPr="00C02974">
              <w:rPr>
                <w:rFonts w:cs="Times New Roman"/>
                <w:sz w:val="22"/>
                <w:szCs w:val="22"/>
              </w:rPr>
              <w:t>Туристичний збір</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236,5</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284,3</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310,0</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364,7</w:t>
            </w:r>
          </w:p>
        </w:tc>
        <w:tc>
          <w:tcPr>
            <w:tcW w:w="188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117,6%</w:t>
            </w:r>
          </w:p>
        </w:tc>
      </w:tr>
      <w:tr w:rsidR="00D517D1" w:rsidRPr="00C02974" w:rsidTr="002E3F58">
        <w:trPr>
          <w:trHeight w:val="415"/>
          <w:jc w:val="center"/>
        </w:trPr>
        <w:tc>
          <w:tcPr>
            <w:tcW w:w="4609" w:type="dxa"/>
            <w:noWrap/>
            <w:hideMark/>
          </w:tcPr>
          <w:p w:rsidR="00D517D1" w:rsidRPr="00C02974" w:rsidRDefault="00D517D1" w:rsidP="00667AFF">
            <w:pPr>
              <w:rPr>
                <w:rFonts w:cs="Times New Roman"/>
                <w:sz w:val="22"/>
                <w:szCs w:val="22"/>
              </w:rPr>
            </w:pPr>
            <w:r w:rsidRPr="00C02974">
              <w:rPr>
                <w:rFonts w:cs="Times New Roman"/>
                <w:sz w:val="22"/>
                <w:szCs w:val="22"/>
              </w:rPr>
              <w:t>Доходи суб’єктів туристичної діяльності</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95 517,0</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199 090,4</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168 000,0</w:t>
            </w:r>
          </w:p>
        </w:tc>
        <w:tc>
          <w:tcPr>
            <w:tcW w:w="1560" w:type="dxa"/>
            <w:vAlign w:val="center"/>
            <w:hideMark/>
          </w:tcPr>
          <w:p w:rsidR="00D517D1" w:rsidRPr="00271488" w:rsidRDefault="00271488" w:rsidP="00D517D1">
            <w:pPr>
              <w:jc w:val="center"/>
              <w:rPr>
                <w:rFonts w:cs="Times New Roman"/>
                <w:sz w:val="22"/>
                <w:szCs w:val="22"/>
                <w:lang w:val="uk-UA"/>
              </w:rPr>
            </w:pPr>
            <w:r>
              <w:rPr>
                <w:rFonts w:cs="Times New Roman"/>
                <w:sz w:val="22"/>
                <w:szCs w:val="22"/>
                <w:lang w:val="uk-UA"/>
              </w:rPr>
              <w:t>176 715,7</w:t>
            </w:r>
          </w:p>
        </w:tc>
        <w:tc>
          <w:tcPr>
            <w:tcW w:w="1884" w:type="dxa"/>
            <w:vAlign w:val="center"/>
            <w:hideMark/>
          </w:tcPr>
          <w:p w:rsidR="00D517D1" w:rsidRPr="00C02974" w:rsidRDefault="00271488" w:rsidP="00D517D1">
            <w:pPr>
              <w:jc w:val="center"/>
              <w:rPr>
                <w:rFonts w:cs="Times New Roman"/>
                <w:sz w:val="22"/>
                <w:szCs w:val="22"/>
              </w:rPr>
            </w:pPr>
            <w:r>
              <w:rPr>
                <w:rFonts w:cs="Times New Roman"/>
                <w:sz w:val="22"/>
                <w:szCs w:val="22"/>
                <w:lang w:val="uk-UA"/>
              </w:rPr>
              <w:t>105,2</w:t>
            </w:r>
            <w:r w:rsidR="00D517D1" w:rsidRPr="00C02974">
              <w:rPr>
                <w:rFonts w:cs="Times New Roman"/>
                <w:sz w:val="22"/>
                <w:szCs w:val="22"/>
              </w:rPr>
              <w:t>%</w:t>
            </w:r>
          </w:p>
        </w:tc>
      </w:tr>
      <w:tr w:rsidR="00D517D1" w:rsidRPr="00C02974" w:rsidTr="0031118A">
        <w:trPr>
          <w:trHeight w:val="725"/>
          <w:jc w:val="center"/>
        </w:trPr>
        <w:tc>
          <w:tcPr>
            <w:tcW w:w="4609" w:type="dxa"/>
            <w:hideMark/>
          </w:tcPr>
          <w:p w:rsidR="00D517D1" w:rsidRPr="00C02974" w:rsidRDefault="00D517D1" w:rsidP="00271488">
            <w:pPr>
              <w:jc w:val="both"/>
              <w:rPr>
                <w:rFonts w:cs="Times New Roman"/>
                <w:sz w:val="22"/>
                <w:szCs w:val="22"/>
              </w:rPr>
            </w:pPr>
            <w:r w:rsidRPr="00C02974">
              <w:rPr>
                <w:rFonts w:cs="Times New Roman"/>
                <w:sz w:val="22"/>
                <w:szCs w:val="22"/>
              </w:rPr>
              <w:t xml:space="preserve">Обсяг сплачених суб’єктами туристичної діяльності податків до </w:t>
            </w:r>
            <w:r w:rsidR="00271488">
              <w:rPr>
                <w:rFonts w:cs="Times New Roman"/>
                <w:sz w:val="22"/>
                <w:szCs w:val="22"/>
                <w:lang w:val="uk-UA"/>
              </w:rPr>
              <w:t>місцевого</w:t>
            </w:r>
            <w:r w:rsidRPr="00C02974">
              <w:rPr>
                <w:rFonts w:cs="Times New Roman"/>
                <w:sz w:val="22"/>
                <w:szCs w:val="22"/>
              </w:rPr>
              <w:t xml:space="preserve"> бюджету</w:t>
            </w:r>
          </w:p>
        </w:tc>
        <w:tc>
          <w:tcPr>
            <w:tcW w:w="1134"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тис.грн.</w:t>
            </w:r>
          </w:p>
        </w:tc>
        <w:tc>
          <w:tcPr>
            <w:tcW w:w="1559"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3 608,8</w:t>
            </w:r>
          </w:p>
        </w:tc>
        <w:tc>
          <w:tcPr>
            <w:tcW w:w="1418"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15 358,1</w:t>
            </w:r>
          </w:p>
        </w:tc>
        <w:tc>
          <w:tcPr>
            <w:tcW w:w="1842"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6 300,0</w:t>
            </w:r>
          </w:p>
        </w:tc>
        <w:tc>
          <w:tcPr>
            <w:tcW w:w="1560" w:type="dxa"/>
            <w:vAlign w:val="center"/>
            <w:hideMark/>
          </w:tcPr>
          <w:p w:rsidR="00D517D1" w:rsidRPr="00271488" w:rsidRDefault="00271488" w:rsidP="00D517D1">
            <w:pPr>
              <w:jc w:val="center"/>
              <w:rPr>
                <w:rFonts w:cs="Times New Roman"/>
                <w:sz w:val="22"/>
                <w:szCs w:val="22"/>
                <w:lang w:val="uk-UA"/>
              </w:rPr>
            </w:pPr>
            <w:r>
              <w:rPr>
                <w:rFonts w:cs="Times New Roman"/>
                <w:sz w:val="22"/>
                <w:szCs w:val="22"/>
                <w:lang w:val="uk-UA"/>
              </w:rPr>
              <w:t>50 793,8</w:t>
            </w:r>
          </w:p>
        </w:tc>
        <w:tc>
          <w:tcPr>
            <w:tcW w:w="1884" w:type="dxa"/>
            <w:vAlign w:val="center"/>
            <w:hideMark/>
          </w:tcPr>
          <w:p w:rsidR="00D517D1" w:rsidRPr="00C02974" w:rsidRDefault="00271488" w:rsidP="00D517D1">
            <w:pPr>
              <w:jc w:val="center"/>
              <w:rPr>
                <w:rFonts w:cs="Times New Roman"/>
                <w:sz w:val="22"/>
                <w:szCs w:val="22"/>
              </w:rPr>
            </w:pPr>
            <w:r>
              <w:rPr>
                <w:rFonts w:cs="Times New Roman"/>
                <w:sz w:val="22"/>
                <w:szCs w:val="22"/>
                <w:lang w:val="uk-UA"/>
              </w:rPr>
              <w:t>806</w:t>
            </w:r>
            <w:r w:rsidR="00D517D1" w:rsidRPr="00C02974">
              <w:rPr>
                <w:rFonts w:cs="Times New Roman"/>
                <w:sz w:val="22"/>
                <w:szCs w:val="22"/>
              </w:rPr>
              <w:t>%</w:t>
            </w:r>
          </w:p>
        </w:tc>
      </w:tr>
      <w:tr w:rsidR="00DE39AC" w:rsidRPr="00C02974" w:rsidTr="002E3F58">
        <w:trPr>
          <w:trHeight w:val="556"/>
          <w:jc w:val="center"/>
        </w:trPr>
        <w:tc>
          <w:tcPr>
            <w:tcW w:w="14006" w:type="dxa"/>
            <w:gridSpan w:val="7"/>
            <w:vAlign w:val="center"/>
            <w:hideMark/>
          </w:tcPr>
          <w:p w:rsidR="00DE39AC" w:rsidRPr="00C02974" w:rsidRDefault="00DE39AC" w:rsidP="00DE39AC">
            <w:pPr>
              <w:jc w:val="center"/>
              <w:rPr>
                <w:rFonts w:cs="Times New Roman"/>
                <w:sz w:val="22"/>
                <w:szCs w:val="22"/>
              </w:rPr>
            </w:pPr>
            <w:r w:rsidRPr="00C02974">
              <w:rPr>
                <w:rFonts w:cs="Times New Roman"/>
                <w:b/>
                <w:bCs/>
                <w:sz w:val="22"/>
                <w:szCs w:val="22"/>
                <w:u w:val="single"/>
              </w:rPr>
              <w:lastRenderedPageBreak/>
              <w:t>ОХОРОНА НАВКОЛИШНЬОГО ПРИРОДНОГО СЕРЕДОВИЩА</w:t>
            </w:r>
          </w:p>
        </w:tc>
      </w:tr>
      <w:tr w:rsidR="00D517D1" w:rsidRPr="00C02974" w:rsidTr="002E3F58">
        <w:trPr>
          <w:trHeight w:val="990"/>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 xml:space="preserve">Викиди забруднюючих речовин в атмосферне повітря стаціонарними джерелами забруднення у розрахунку на одну особу </w:t>
            </w:r>
          </w:p>
        </w:tc>
        <w:tc>
          <w:tcPr>
            <w:tcW w:w="113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кг</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1,8</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1,75</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1,68</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будуть у травні 2019р.</w:t>
            </w:r>
          </w:p>
        </w:tc>
        <w:tc>
          <w:tcPr>
            <w:tcW w:w="188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r w:rsidR="00D517D1" w:rsidRPr="00C02974" w:rsidTr="002E3F58">
        <w:trPr>
          <w:trHeight w:val="948"/>
          <w:jc w:val="center"/>
        </w:trPr>
        <w:tc>
          <w:tcPr>
            <w:tcW w:w="4609" w:type="dxa"/>
            <w:hideMark/>
          </w:tcPr>
          <w:p w:rsidR="00D517D1" w:rsidRPr="00C02974" w:rsidRDefault="00D517D1" w:rsidP="000F484C">
            <w:pPr>
              <w:jc w:val="both"/>
              <w:rPr>
                <w:rFonts w:cs="Times New Roman"/>
                <w:sz w:val="22"/>
                <w:szCs w:val="22"/>
              </w:rPr>
            </w:pPr>
            <w:r w:rsidRPr="00C02974">
              <w:rPr>
                <w:rFonts w:cs="Times New Roman"/>
                <w:sz w:val="22"/>
                <w:szCs w:val="22"/>
              </w:rPr>
              <w:t xml:space="preserve">Темп зростання (зменшення) викидів забруднюючих речовин в атмосферне повітря стаціонарними джерелами забруднення </w:t>
            </w:r>
          </w:p>
        </w:tc>
        <w:tc>
          <w:tcPr>
            <w:tcW w:w="113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w:t>
            </w:r>
          </w:p>
        </w:tc>
        <w:tc>
          <w:tcPr>
            <w:tcW w:w="1559"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94,3</w:t>
            </w:r>
          </w:p>
        </w:tc>
        <w:tc>
          <w:tcPr>
            <w:tcW w:w="1418"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99,9</w:t>
            </w:r>
          </w:p>
        </w:tc>
        <w:tc>
          <w:tcPr>
            <w:tcW w:w="1842"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98,9</w:t>
            </w:r>
          </w:p>
        </w:tc>
        <w:tc>
          <w:tcPr>
            <w:tcW w:w="1560" w:type="dxa"/>
            <w:vAlign w:val="center"/>
            <w:hideMark/>
          </w:tcPr>
          <w:p w:rsidR="00D517D1" w:rsidRPr="00C02974" w:rsidRDefault="00D517D1" w:rsidP="00D517D1">
            <w:pPr>
              <w:jc w:val="center"/>
              <w:rPr>
                <w:rFonts w:cs="Times New Roman"/>
                <w:sz w:val="22"/>
                <w:szCs w:val="22"/>
              </w:rPr>
            </w:pPr>
            <w:r w:rsidRPr="00C02974">
              <w:rPr>
                <w:rFonts w:cs="Times New Roman"/>
                <w:sz w:val="22"/>
                <w:szCs w:val="22"/>
              </w:rPr>
              <w:t>дані будуть у травні 2019р.</w:t>
            </w:r>
          </w:p>
        </w:tc>
        <w:tc>
          <w:tcPr>
            <w:tcW w:w="1884" w:type="dxa"/>
            <w:noWrap/>
            <w:vAlign w:val="center"/>
            <w:hideMark/>
          </w:tcPr>
          <w:p w:rsidR="00D517D1" w:rsidRPr="00C02974" w:rsidRDefault="00D517D1" w:rsidP="00D517D1">
            <w:pPr>
              <w:jc w:val="center"/>
              <w:rPr>
                <w:rFonts w:cs="Times New Roman"/>
                <w:sz w:val="22"/>
                <w:szCs w:val="22"/>
              </w:rPr>
            </w:pPr>
            <w:r w:rsidRPr="00C02974">
              <w:rPr>
                <w:rFonts w:cs="Times New Roman"/>
                <w:sz w:val="22"/>
                <w:szCs w:val="22"/>
              </w:rPr>
              <w:t>х</w:t>
            </w:r>
          </w:p>
        </w:tc>
      </w:tr>
    </w:tbl>
    <w:p w:rsidR="00D517D1" w:rsidRDefault="00D517D1" w:rsidP="00D517D1"/>
    <w:p w:rsidR="00DE39AC" w:rsidRPr="00DE39AC" w:rsidRDefault="00DE39AC">
      <w:pPr>
        <w:rPr>
          <w:i/>
          <w:lang w:val="uk-UA"/>
        </w:rPr>
      </w:pPr>
      <w:r>
        <w:rPr>
          <w:lang w:val="uk-UA"/>
        </w:rPr>
        <w:tab/>
      </w:r>
      <w:r>
        <w:rPr>
          <w:lang w:val="uk-UA"/>
        </w:rPr>
        <w:tab/>
      </w:r>
      <w:r w:rsidRPr="00DE39AC">
        <w:rPr>
          <w:i/>
          <w:lang w:val="uk-UA"/>
        </w:rPr>
        <w:t xml:space="preserve">Примітка: </w:t>
      </w:r>
    </w:p>
    <w:p w:rsidR="00DE39AC" w:rsidRPr="00DE39AC" w:rsidRDefault="00DE39AC">
      <w:pPr>
        <w:rPr>
          <w:i/>
          <w:lang w:val="uk-UA"/>
        </w:rPr>
      </w:pPr>
    </w:p>
    <w:p w:rsidR="00DE39AC" w:rsidRPr="00DE39AC" w:rsidRDefault="00DE39AC">
      <w:pPr>
        <w:rPr>
          <w:i/>
          <w:lang w:val="uk-UA"/>
        </w:rPr>
      </w:pPr>
      <w:r w:rsidRPr="00DE39AC">
        <w:rPr>
          <w:i/>
          <w:lang w:val="uk-UA"/>
        </w:rPr>
        <w:tab/>
      </w:r>
      <w:r w:rsidRPr="00DE39AC">
        <w:rPr>
          <w:i/>
          <w:lang w:val="uk-UA"/>
        </w:rPr>
        <w:tab/>
        <w:t>* - дані за 9 місяців 2018 року</w:t>
      </w:r>
    </w:p>
    <w:p w:rsidR="00DE39AC" w:rsidRPr="00DE39AC" w:rsidRDefault="00DE39AC">
      <w:pPr>
        <w:rPr>
          <w:i/>
          <w:lang w:val="uk-UA"/>
        </w:rPr>
        <w:sectPr w:rsidR="00DE39AC" w:rsidRPr="00DE39AC" w:rsidSect="004C4399">
          <w:pgSz w:w="16838" w:h="11906" w:orient="landscape"/>
          <w:pgMar w:top="1985" w:right="709" w:bottom="567" w:left="567" w:header="567" w:footer="397" w:gutter="0"/>
          <w:cols w:space="708"/>
          <w:docGrid w:linePitch="381"/>
        </w:sectPr>
      </w:pPr>
      <w:r w:rsidRPr="00DE39AC">
        <w:rPr>
          <w:i/>
          <w:lang w:val="uk-UA"/>
        </w:rPr>
        <w:tab/>
      </w:r>
      <w:r w:rsidRPr="00DE39AC">
        <w:rPr>
          <w:i/>
          <w:lang w:val="uk-UA"/>
        </w:rPr>
        <w:tab/>
      </w:r>
    </w:p>
    <w:p w:rsidR="00D517D1" w:rsidRPr="00720DC2" w:rsidRDefault="00D517D1">
      <w:pPr>
        <w:rPr>
          <w:lang w:val="uk-UA"/>
        </w:rPr>
      </w:pPr>
      <w:bookmarkStart w:id="0" w:name="_GoBack"/>
      <w:bookmarkEnd w:id="0"/>
    </w:p>
    <w:sectPr w:rsidR="00D517D1" w:rsidRPr="00720DC2" w:rsidSect="00A6449A">
      <w:pgSz w:w="11906" w:h="16838"/>
      <w:pgMar w:top="709" w:right="567" w:bottom="567" w:left="1985" w:header="567" w:footer="39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D2" w:rsidRDefault="004273D2">
      <w:r>
        <w:separator/>
      </w:r>
    </w:p>
  </w:endnote>
  <w:endnote w:type="continuationSeparator" w:id="0">
    <w:p w:rsidR="004273D2" w:rsidRDefault="0042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OOEnc">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D2" w:rsidRDefault="004273D2">
      <w:r>
        <w:separator/>
      </w:r>
    </w:p>
  </w:footnote>
  <w:footnote w:type="continuationSeparator" w:id="0">
    <w:p w:rsidR="004273D2" w:rsidRDefault="00427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8610"/>
      <w:docPartObj>
        <w:docPartGallery w:val="Page Numbers (Top of Page)"/>
        <w:docPartUnique/>
      </w:docPartObj>
    </w:sdtPr>
    <w:sdtEndPr/>
    <w:sdtContent>
      <w:p w:rsidR="0002754B" w:rsidRDefault="0002754B">
        <w:pPr>
          <w:pStyle w:val="a6"/>
          <w:jc w:val="center"/>
        </w:pPr>
        <w:r w:rsidRPr="00B83BA9">
          <w:rPr>
            <w:rFonts w:ascii="Times New Roman" w:hAnsi="Times New Roman" w:cs="Times New Roman"/>
            <w:sz w:val="24"/>
            <w:szCs w:val="24"/>
          </w:rPr>
          <w:fldChar w:fldCharType="begin"/>
        </w:r>
        <w:r w:rsidRPr="00B83BA9">
          <w:rPr>
            <w:rFonts w:ascii="Times New Roman" w:hAnsi="Times New Roman" w:cs="Times New Roman"/>
            <w:sz w:val="24"/>
            <w:szCs w:val="24"/>
          </w:rPr>
          <w:instrText>PAGE   \* MERGEFORMAT</w:instrText>
        </w:r>
        <w:r w:rsidRPr="00B83BA9">
          <w:rPr>
            <w:rFonts w:ascii="Times New Roman" w:hAnsi="Times New Roman" w:cs="Times New Roman"/>
            <w:sz w:val="24"/>
            <w:szCs w:val="24"/>
          </w:rPr>
          <w:fldChar w:fldCharType="separate"/>
        </w:r>
        <w:r w:rsidR="000C4EF3">
          <w:rPr>
            <w:rFonts w:ascii="Times New Roman" w:hAnsi="Times New Roman" w:cs="Times New Roman"/>
            <w:noProof/>
            <w:sz w:val="24"/>
            <w:szCs w:val="24"/>
          </w:rPr>
          <w:t>51</w:t>
        </w:r>
        <w:r w:rsidRPr="00B83BA9">
          <w:rPr>
            <w:rFonts w:ascii="Times New Roman" w:hAnsi="Times New Roman" w:cs="Times New Roman"/>
            <w:sz w:val="24"/>
            <w:szCs w:val="24"/>
          </w:rPr>
          <w:fldChar w:fldCharType="end"/>
        </w:r>
      </w:p>
    </w:sdtContent>
  </w:sdt>
  <w:p w:rsidR="0002754B" w:rsidRDefault="0002754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4B" w:rsidRDefault="0002754B">
    <w:pPr>
      <w:pStyle w:val="a6"/>
      <w:jc w:val="center"/>
    </w:pPr>
  </w:p>
  <w:p w:rsidR="0002754B" w:rsidRDefault="000275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0256"/>
    <w:multiLevelType w:val="hybridMultilevel"/>
    <w:tmpl w:val="8A682B50"/>
    <w:lvl w:ilvl="0" w:tplc="E7229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18699C"/>
    <w:multiLevelType w:val="hybridMultilevel"/>
    <w:tmpl w:val="AB381B80"/>
    <w:lvl w:ilvl="0" w:tplc="77C43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0A7100"/>
    <w:multiLevelType w:val="multilevel"/>
    <w:tmpl w:val="CC42940E"/>
    <w:lvl w:ilvl="0">
      <w:start w:val="4"/>
      <w:numFmt w:val="decimal"/>
      <w:lvlText w:val="%1"/>
      <w:lvlJc w:val="left"/>
      <w:pPr>
        <w:ind w:left="375" w:hanging="375"/>
      </w:pPr>
      <w:rPr>
        <w:rFonts w:hint="default"/>
      </w:rPr>
    </w:lvl>
    <w:lvl w:ilvl="1">
      <w:start w:val="1"/>
      <w:numFmt w:val="decimal"/>
      <w:lvlText w:val="%1.%2"/>
      <w:lvlJc w:val="left"/>
      <w:pPr>
        <w:ind w:left="1075" w:hanging="37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 w15:restartNumberingAfterBreak="0">
    <w:nsid w:val="14035AEC"/>
    <w:multiLevelType w:val="hybridMultilevel"/>
    <w:tmpl w:val="176CCC1E"/>
    <w:lvl w:ilvl="0" w:tplc="177EC134">
      <w:start w:val="580"/>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AE4509C"/>
    <w:multiLevelType w:val="hybridMultilevel"/>
    <w:tmpl w:val="0BC6E530"/>
    <w:lvl w:ilvl="0" w:tplc="24A66286">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F780398"/>
    <w:multiLevelType w:val="hybridMultilevel"/>
    <w:tmpl w:val="0D4679C8"/>
    <w:lvl w:ilvl="0" w:tplc="DFBA98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6078F4"/>
    <w:multiLevelType w:val="hybridMultilevel"/>
    <w:tmpl w:val="6C767678"/>
    <w:lvl w:ilvl="0" w:tplc="2C528C42">
      <w:start w:val="1"/>
      <w:numFmt w:val="bullet"/>
      <w:lvlText w:val="-"/>
      <w:lvlJc w:val="left"/>
      <w:pPr>
        <w:ind w:left="1080" w:hanging="360"/>
      </w:pPr>
      <w:rPr>
        <w:rFonts w:ascii="Helvetica" w:eastAsia="Times New Roman" w:hAnsi="Helvetica" w:cs="Helvetica" w:hint="default"/>
        <w:color w:val="00000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32F5D00"/>
    <w:multiLevelType w:val="hybridMultilevel"/>
    <w:tmpl w:val="406CC9CE"/>
    <w:lvl w:ilvl="0" w:tplc="DF9A90DE">
      <w:start w:val="1"/>
      <w:numFmt w:val="decimal"/>
      <w:lvlText w:val="%1."/>
      <w:lvlJc w:val="left"/>
      <w:pPr>
        <w:ind w:left="1211" w:hanging="360"/>
      </w:pPr>
      <w:rPr>
        <w:rFonts w:hint="default"/>
        <w:color w:val="000000" w:themeColor="text1"/>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8" w15:restartNumberingAfterBreak="0">
    <w:nsid w:val="3519324C"/>
    <w:multiLevelType w:val="hybridMultilevel"/>
    <w:tmpl w:val="A4B646AA"/>
    <w:lvl w:ilvl="0" w:tplc="77C430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88B5CB4"/>
    <w:multiLevelType w:val="hybridMultilevel"/>
    <w:tmpl w:val="675A5C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10F84"/>
    <w:multiLevelType w:val="hybridMultilevel"/>
    <w:tmpl w:val="2D86BA20"/>
    <w:lvl w:ilvl="0" w:tplc="5F56E66A">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9642DE"/>
    <w:multiLevelType w:val="hybridMultilevel"/>
    <w:tmpl w:val="1610B42E"/>
    <w:lvl w:ilvl="0" w:tplc="076869B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82A33F2"/>
    <w:multiLevelType w:val="multilevel"/>
    <w:tmpl w:val="FB520BE8"/>
    <w:lvl w:ilvl="0">
      <w:start w:val="1"/>
      <w:numFmt w:val="decimal"/>
      <w:lvlText w:val="%1."/>
      <w:lvlJc w:val="left"/>
      <w:pPr>
        <w:ind w:left="1065" w:hanging="360"/>
      </w:pPr>
      <w:rPr>
        <w:rFonts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3" w15:restartNumberingAfterBreak="0">
    <w:nsid w:val="4B8916B2"/>
    <w:multiLevelType w:val="multilevel"/>
    <w:tmpl w:val="BFCC93B4"/>
    <w:lvl w:ilvl="0">
      <w:start w:val="4"/>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F0E1E6D"/>
    <w:multiLevelType w:val="hybridMultilevel"/>
    <w:tmpl w:val="A010152C"/>
    <w:lvl w:ilvl="0" w:tplc="9FBEC600">
      <w:start w:val="2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58684C15"/>
    <w:multiLevelType w:val="hybridMultilevel"/>
    <w:tmpl w:val="A5DEE8EE"/>
    <w:lvl w:ilvl="0" w:tplc="F75E7E7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62895E4A"/>
    <w:multiLevelType w:val="hybridMultilevel"/>
    <w:tmpl w:val="1D16596A"/>
    <w:lvl w:ilvl="0" w:tplc="13EA74FA">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F2A5D82"/>
    <w:multiLevelType w:val="hybridMultilevel"/>
    <w:tmpl w:val="106EA6BA"/>
    <w:lvl w:ilvl="0" w:tplc="6CEABB3A">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07472D3"/>
    <w:multiLevelType w:val="hybridMultilevel"/>
    <w:tmpl w:val="61E87378"/>
    <w:lvl w:ilvl="0" w:tplc="6838983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34862A5"/>
    <w:multiLevelType w:val="hybridMultilevel"/>
    <w:tmpl w:val="4FBA1232"/>
    <w:lvl w:ilvl="0" w:tplc="DAEC2F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C7D9F"/>
    <w:multiLevelType w:val="hybridMultilevel"/>
    <w:tmpl w:val="D5C6C32E"/>
    <w:lvl w:ilvl="0" w:tplc="7038738A">
      <w:numFmt w:val="bullet"/>
      <w:lvlText w:val="–"/>
      <w:lvlJc w:val="left"/>
      <w:pPr>
        <w:tabs>
          <w:tab w:val="num" w:pos="432"/>
        </w:tabs>
        <w:ind w:left="432" w:hanging="360"/>
      </w:pPr>
      <w:rPr>
        <w:rFonts w:ascii="Times New Roman" w:eastAsia="Times New Roman" w:hAnsi="Times New Roman" w:cs="Times New Roman" w:hint="default"/>
      </w:rPr>
    </w:lvl>
    <w:lvl w:ilvl="1" w:tplc="04220003" w:tentative="1">
      <w:start w:val="1"/>
      <w:numFmt w:val="bullet"/>
      <w:lvlText w:val="o"/>
      <w:lvlJc w:val="left"/>
      <w:pPr>
        <w:tabs>
          <w:tab w:val="num" w:pos="1152"/>
        </w:tabs>
        <w:ind w:left="1152" w:hanging="360"/>
      </w:pPr>
      <w:rPr>
        <w:rFonts w:ascii="Courier New" w:hAnsi="Courier New" w:cs="Courier New" w:hint="default"/>
      </w:rPr>
    </w:lvl>
    <w:lvl w:ilvl="2" w:tplc="04220005" w:tentative="1">
      <w:start w:val="1"/>
      <w:numFmt w:val="bullet"/>
      <w:lvlText w:val=""/>
      <w:lvlJc w:val="left"/>
      <w:pPr>
        <w:tabs>
          <w:tab w:val="num" w:pos="1872"/>
        </w:tabs>
        <w:ind w:left="1872" w:hanging="360"/>
      </w:pPr>
      <w:rPr>
        <w:rFonts w:ascii="Wingdings" w:hAnsi="Wingdings" w:hint="default"/>
      </w:rPr>
    </w:lvl>
    <w:lvl w:ilvl="3" w:tplc="04220001" w:tentative="1">
      <w:start w:val="1"/>
      <w:numFmt w:val="bullet"/>
      <w:lvlText w:val=""/>
      <w:lvlJc w:val="left"/>
      <w:pPr>
        <w:tabs>
          <w:tab w:val="num" w:pos="2592"/>
        </w:tabs>
        <w:ind w:left="2592" w:hanging="360"/>
      </w:pPr>
      <w:rPr>
        <w:rFonts w:ascii="Symbol" w:hAnsi="Symbol" w:hint="default"/>
      </w:rPr>
    </w:lvl>
    <w:lvl w:ilvl="4" w:tplc="04220003" w:tentative="1">
      <w:start w:val="1"/>
      <w:numFmt w:val="bullet"/>
      <w:lvlText w:val="o"/>
      <w:lvlJc w:val="left"/>
      <w:pPr>
        <w:tabs>
          <w:tab w:val="num" w:pos="3312"/>
        </w:tabs>
        <w:ind w:left="3312" w:hanging="360"/>
      </w:pPr>
      <w:rPr>
        <w:rFonts w:ascii="Courier New" w:hAnsi="Courier New" w:cs="Courier New" w:hint="default"/>
      </w:rPr>
    </w:lvl>
    <w:lvl w:ilvl="5" w:tplc="04220005" w:tentative="1">
      <w:start w:val="1"/>
      <w:numFmt w:val="bullet"/>
      <w:lvlText w:val=""/>
      <w:lvlJc w:val="left"/>
      <w:pPr>
        <w:tabs>
          <w:tab w:val="num" w:pos="4032"/>
        </w:tabs>
        <w:ind w:left="4032" w:hanging="360"/>
      </w:pPr>
      <w:rPr>
        <w:rFonts w:ascii="Wingdings" w:hAnsi="Wingdings" w:hint="default"/>
      </w:rPr>
    </w:lvl>
    <w:lvl w:ilvl="6" w:tplc="04220001" w:tentative="1">
      <w:start w:val="1"/>
      <w:numFmt w:val="bullet"/>
      <w:lvlText w:val=""/>
      <w:lvlJc w:val="left"/>
      <w:pPr>
        <w:tabs>
          <w:tab w:val="num" w:pos="4752"/>
        </w:tabs>
        <w:ind w:left="4752" w:hanging="360"/>
      </w:pPr>
      <w:rPr>
        <w:rFonts w:ascii="Symbol" w:hAnsi="Symbol" w:hint="default"/>
      </w:rPr>
    </w:lvl>
    <w:lvl w:ilvl="7" w:tplc="04220003" w:tentative="1">
      <w:start w:val="1"/>
      <w:numFmt w:val="bullet"/>
      <w:lvlText w:val="o"/>
      <w:lvlJc w:val="left"/>
      <w:pPr>
        <w:tabs>
          <w:tab w:val="num" w:pos="5472"/>
        </w:tabs>
        <w:ind w:left="5472" w:hanging="360"/>
      </w:pPr>
      <w:rPr>
        <w:rFonts w:ascii="Courier New" w:hAnsi="Courier New" w:cs="Courier New" w:hint="default"/>
      </w:rPr>
    </w:lvl>
    <w:lvl w:ilvl="8" w:tplc="04220005" w:tentative="1">
      <w:start w:val="1"/>
      <w:numFmt w:val="bullet"/>
      <w:lvlText w:val=""/>
      <w:lvlJc w:val="left"/>
      <w:pPr>
        <w:tabs>
          <w:tab w:val="num" w:pos="6192"/>
        </w:tabs>
        <w:ind w:left="6192" w:hanging="360"/>
      </w:pPr>
      <w:rPr>
        <w:rFonts w:ascii="Wingdings" w:hAnsi="Wingdings" w:hint="default"/>
      </w:rPr>
    </w:lvl>
  </w:abstractNum>
  <w:abstractNum w:abstractNumId="21" w15:restartNumberingAfterBreak="0">
    <w:nsid w:val="7B220A3C"/>
    <w:multiLevelType w:val="hybridMultilevel"/>
    <w:tmpl w:val="B44C3F5E"/>
    <w:lvl w:ilvl="0" w:tplc="77C4304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7BE6708D"/>
    <w:multiLevelType w:val="hybridMultilevel"/>
    <w:tmpl w:val="65C483A0"/>
    <w:lvl w:ilvl="0" w:tplc="2E2A653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F234A4"/>
    <w:multiLevelType w:val="hybridMultilevel"/>
    <w:tmpl w:val="81A07000"/>
    <w:lvl w:ilvl="0" w:tplc="8D0A5232">
      <w:start w:val="1"/>
      <w:numFmt w:val="bullet"/>
      <w:lvlText w:val=""/>
      <w:lvlJc w:val="left"/>
      <w:pPr>
        <w:ind w:left="720" w:hanging="360"/>
      </w:pPr>
      <w:rPr>
        <w:rFonts w:ascii="Symbol" w:hAnsi="Symbol" w:hint="default"/>
      </w:rPr>
    </w:lvl>
    <w:lvl w:ilvl="1" w:tplc="8D0A52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AD186F"/>
    <w:multiLevelType w:val="hybridMultilevel"/>
    <w:tmpl w:val="E1D6795C"/>
    <w:lvl w:ilvl="0" w:tplc="8D0A5232">
      <w:start w:val="1"/>
      <w:numFmt w:val="bullet"/>
      <w:lvlText w:val=""/>
      <w:lvlJc w:val="left"/>
      <w:pPr>
        <w:ind w:left="720" w:hanging="360"/>
      </w:pPr>
      <w:rPr>
        <w:rFonts w:ascii="Symbol" w:hAnsi="Symbol" w:hint="default"/>
      </w:rPr>
    </w:lvl>
    <w:lvl w:ilvl="1" w:tplc="2B6E6E82">
      <w:start w:val="10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0"/>
  </w:num>
  <w:num w:numId="4">
    <w:abstractNumId w:val="6"/>
  </w:num>
  <w:num w:numId="5">
    <w:abstractNumId w:val="3"/>
  </w:num>
  <w:num w:numId="6">
    <w:abstractNumId w:val="0"/>
  </w:num>
  <w:num w:numId="7">
    <w:abstractNumId w:val="5"/>
  </w:num>
  <w:num w:numId="8">
    <w:abstractNumId w:val="4"/>
  </w:num>
  <w:num w:numId="9">
    <w:abstractNumId w:val="24"/>
  </w:num>
  <w:num w:numId="10">
    <w:abstractNumId w:val="23"/>
  </w:num>
  <w:num w:numId="11">
    <w:abstractNumId w:val="10"/>
  </w:num>
  <w:num w:numId="12">
    <w:abstractNumId w:val="18"/>
  </w:num>
  <w:num w:numId="13">
    <w:abstractNumId w:val="2"/>
  </w:num>
  <w:num w:numId="14">
    <w:abstractNumId w:val="15"/>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21"/>
  </w:num>
  <w:num w:numId="21">
    <w:abstractNumId w:val="1"/>
  </w:num>
  <w:num w:numId="22">
    <w:abstractNumId w:val="7"/>
  </w:num>
  <w:num w:numId="23">
    <w:abstractNumId w:val="9"/>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22"/>
    <w:rsid w:val="00004FDE"/>
    <w:rsid w:val="00014FEC"/>
    <w:rsid w:val="00023367"/>
    <w:rsid w:val="00023B47"/>
    <w:rsid w:val="0002754B"/>
    <w:rsid w:val="000341BD"/>
    <w:rsid w:val="00034747"/>
    <w:rsid w:val="00034B0D"/>
    <w:rsid w:val="00037564"/>
    <w:rsid w:val="000375D2"/>
    <w:rsid w:val="00044BA3"/>
    <w:rsid w:val="00046F69"/>
    <w:rsid w:val="00054631"/>
    <w:rsid w:val="00055250"/>
    <w:rsid w:val="00063069"/>
    <w:rsid w:val="00063AAA"/>
    <w:rsid w:val="00074619"/>
    <w:rsid w:val="00084544"/>
    <w:rsid w:val="00094079"/>
    <w:rsid w:val="000A62BB"/>
    <w:rsid w:val="000B451F"/>
    <w:rsid w:val="000B76E8"/>
    <w:rsid w:val="000C43E2"/>
    <w:rsid w:val="000C4EF3"/>
    <w:rsid w:val="000C5DAA"/>
    <w:rsid w:val="000C6B80"/>
    <w:rsid w:val="000D6D3B"/>
    <w:rsid w:val="000E4BE1"/>
    <w:rsid w:val="000E4C1C"/>
    <w:rsid w:val="000E5399"/>
    <w:rsid w:val="000E54E7"/>
    <w:rsid w:val="000E6FF3"/>
    <w:rsid w:val="000F0A2D"/>
    <w:rsid w:val="000F484C"/>
    <w:rsid w:val="000F788C"/>
    <w:rsid w:val="00105EE0"/>
    <w:rsid w:val="00114A80"/>
    <w:rsid w:val="00116A68"/>
    <w:rsid w:val="00117B53"/>
    <w:rsid w:val="0012075C"/>
    <w:rsid w:val="00121B8C"/>
    <w:rsid w:val="00135583"/>
    <w:rsid w:val="00135673"/>
    <w:rsid w:val="00136F1B"/>
    <w:rsid w:val="001417E1"/>
    <w:rsid w:val="00170B39"/>
    <w:rsid w:val="001710BB"/>
    <w:rsid w:val="001774B6"/>
    <w:rsid w:val="0018016B"/>
    <w:rsid w:val="00183E22"/>
    <w:rsid w:val="00187902"/>
    <w:rsid w:val="001947EA"/>
    <w:rsid w:val="00196D5D"/>
    <w:rsid w:val="001B0B8C"/>
    <w:rsid w:val="001B5163"/>
    <w:rsid w:val="001C0133"/>
    <w:rsid w:val="001D2B22"/>
    <w:rsid w:val="001D7508"/>
    <w:rsid w:val="001F05DA"/>
    <w:rsid w:val="001F0957"/>
    <w:rsid w:val="001F1756"/>
    <w:rsid w:val="001F3B7A"/>
    <w:rsid w:val="001F611B"/>
    <w:rsid w:val="00200BC8"/>
    <w:rsid w:val="002029EB"/>
    <w:rsid w:val="0020502A"/>
    <w:rsid w:val="00212950"/>
    <w:rsid w:val="00214A3E"/>
    <w:rsid w:val="00227939"/>
    <w:rsid w:val="00231E7E"/>
    <w:rsid w:val="00247855"/>
    <w:rsid w:val="00247917"/>
    <w:rsid w:val="002620AD"/>
    <w:rsid w:val="002624F0"/>
    <w:rsid w:val="00271488"/>
    <w:rsid w:val="002735F3"/>
    <w:rsid w:val="00273FAC"/>
    <w:rsid w:val="002760D3"/>
    <w:rsid w:val="00277403"/>
    <w:rsid w:val="00277C19"/>
    <w:rsid w:val="002816F7"/>
    <w:rsid w:val="00283946"/>
    <w:rsid w:val="00291D7C"/>
    <w:rsid w:val="002A2131"/>
    <w:rsid w:val="002B5B97"/>
    <w:rsid w:val="002B69FC"/>
    <w:rsid w:val="002C4BC9"/>
    <w:rsid w:val="002C625F"/>
    <w:rsid w:val="002C73E4"/>
    <w:rsid w:val="002D63D2"/>
    <w:rsid w:val="002D693B"/>
    <w:rsid w:val="002E3F58"/>
    <w:rsid w:val="002E56FE"/>
    <w:rsid w:val="002F6EF9"/>
    <w:rsid w:val="00302A16"/>
    <w:rsid w:val="003069EE"/>
    <w:rsid w:val="00306C44"/>
    <w:rsid w:val="00307141"/>
    <w:rsid w:val="00307B0A"/>
    <w:rsid w:val="0031118A"/>
    <w:rsid w:val="0031758A"/>
    <w:rsid w:val="00331408"/>
    <w:rsid w:val="003374F8"/>
    <w:rsid w:val="00342028"/>
    <w:rsid w:val="00343EDA"/>
    <w:rsid w:val="003468D9"/>
    <w:rsid w:val="003472BA"/>
    <w:rsid w:val="0035620E"/>
    <w:rsid w:val="0035693F"/>
    <w:rsid w:val="0036023F"/>
    <w:rsid w:val="00361F0F"/>
    <w:rsid w:val="00361F1E"/>
    <w:rsid w:val="00362BBC"/>
    <w:rsid w:val="003705FE"/>
    <w:rsid w:val="003709B4"/>
    <w:rsid w:val="00375608"/>
    <w:rsid w:val="00382D3D"/>
    <w:rsid w:val="003866A9"/>
    <w:rsid w:val="00387447"/>
    <w:rsid w:val="00387AFB"/>
    <w:rsid w:val="00387E15"/>
    <w:rsid w:val="003937E6"/>
    <w:rsid w:val="00394747"/>
    <w:rsid w:val="003A2BDB"/>
    <w:rsid w:val="003A46C2"/>
    <w:rsid w:val="003B32B0"/>
    <w:rsid w:val="003B6690"/>
    <w:rsid w:val="003C2B2D"/>
    <w:rsid w:val="003C3A9E"/>
    <w:rsid w:val="003D014A"/>
    <w:rsid w:val="003D0EE8"/>
    <w:rsid w:val="003E1FD6"/>
    <w:rsid w:val="003F1F87"/>
    <w:rsid w:val="003F5DA4"/>
    <w:rsid w:val="003F75A4"/>
    <w:rsid w:val="004012E8"/>
    <w:rsid w:val="00401D61"/>
    <w:rsid w:val="00402171"/>
    <w:rsid w:val="00404051"/>
    <w:rsid w:val="0040745B"/>
    <w:rsid w:val="004120B7"/>
    <w:rsid w:val="004128C3"/>
    <w:rsid w:val="004273D2"/>
    <w:rsid w:val="00434744"/>
    <w:rsid w:val="00474E7E"/>
    <w:rsid w:val="00483E66"/>
    <w:rsid w:val="00485FF1"/>
    <w:rsid w:val="004862E1"/>
    <w:rsid w:val="004874DA"/>
    <w:rsid w:val="004905BE"/>
    <w:rsid w:val="00491CC6"/>
    <w:rsid w:val="004B00F0"/>
    <w:rsid w:val="004B2999"/>
    <w:rsid w:val="004B5337"/>
    <w:rsid w:val="004B6262"/>
    <w:rsid w:val="004B6322"/>
    <w:rsid w:val="004C0EBE"/>
    <w:rsid w:val="004C4399"/>
    <w:rsid w:val="004C50CA"/>
    <w:rsid w:val="004C6627"/>
    <w:rsid w:val="004D14A2"/>
    <w:rsid w:val="004D23FC"/>
    <w:rsid w:val="004D475B"/>
    <w:rsid w:val="004D6ED6"/>
    <w:rsid w:val="004E34F2"/>
    <w:rsid w:val="004F024F"/>
    <w:rsid w:val="004F1DFE"/>
    <w:rsid w:val="004F325F"/>
    <w:rsid w:val="004F3652"/>
    <w:rsid w:val="004F50E1"/>
    <w:rsid w:val="0051046C"/>
    <w:rsid w:val="0051577F"/>
    <w:rsid w:val="00523CDB"/>
    <w:rsid w:val="005348B2"/>
    <w:rsid w:val="0053533A"/>
    <w:rsid w:val="00536648"/>
    <w:rsid w:val="00540CCC"/>
    <w:rsid w:val="00543886"/>
    <w:rsid w:val="00546B93"/>
    <w:rsid w:val="005509D1"/>
    <w:rsid w:val="0056172A"/>
    <w:rsid w:val="00566E1B"/>
    <w:rsid w:val="005674FE"/>
    <w:rsid w:val="00580C52"/>
    <w:rsid w:val="00582093"/>
    <w:rsid w:val="00582A43"/>
    <w:rsid w:val="005950AD"/>
    <w:rsid w:val="005A074F"/>
    <w:rsid w:val="005B3942"/>
    <w:rsid w:val="005B5CF7"/>
    <w:rsid w:val="005C0405"/>
    <w:rsid w:val="005C5F07"/>
    <w:rsid w:val="005D66C2"/>
    <w:rsid w:val="005D719D"/>
    <w:rsid w:val="005D7F82"/>
    <w:rsid w:val="005E29E6"/>
    <w:rsid w:val="005E446D"/>
    <w:rsid w:val="005E5368"/>
    <w:rsid w:val="005F488F"/>
    <w:rsid w:val="005F59F4"/>
    <w:rsid w:val="0060464A"/>
    <w:rsid w:val="00605041"/>
    <w:rsid w:val="006079AE"/>
    <w:rsid w:val="00616C6C"/>
    <w:rsid w:val="00621BC2"/>
    <w:rsid w:val="00624513"/>
    <w:rsid w:val="006253FF"/>
    <w:rsid w:val="00631BF3"/>
    <w:rsid w:val="00636220"/>
    <w:rsid w:val="006365A2"/>
    <w:rsid w:val="00637D47"/>
    <w:rsid w:val="00646452"/>
    <w:rsid w:val="00646524"/>
    <w:rsid w:val="0064735F"/>
    <w:rsid w:val="00650BCB"/>
    <w:rsid w:val="006536EE"/>
    <w:rsid w:val="00653C6A"/>
    <w:rsid w:val="00661305"/>
    <w:rsid w:val="00661B15"/>
    <w:rsid w:val="00666086"/>
    <w:rsid w:val="006671FF"/>
    <w:rsid w:val="00667AFF"/>
    <w:rsid w:val="006A4354"/>
    <w:rsid w:val="006B00D6"/>
    <w:rsid w:val="006B3A4A"/>
    <w:rsid w:val="006B798A"/>
    <w:rsid w:val="006D00FA"/>
    <w:rsid w:val="006F1E3B"/>
    <w:rsid w:val="006F554E"/>
    <w:rsid w:val="007102FA"/>
    <w:rsid w:val="00715768"/>
    <w:rsid w:val="00717F59"/>
    <w:rsid w:val="00720DC2"/>
    <w:rsid w:val="00721AD0"/>
    <w:rsid w:val="00722640"/>
    <w:rsid w:val="00722C63"/>
    <w:rsid w:val="0073749C"/>
    <w:rsid w:val="00740B15"/>
    <w:rsid w:val="0074125D"/>
    <w:rsid w:val="00746F16"/>
    <w:rsid w:val="00753836"/>
    <w:rsid w:val="00753ED8"/>
    <w:rsid w:val="0077091E"/>
    <w:rsid w:val="00773511"/>
    <w:rsid w:val="0077465B"/>
    <w:rsid w:val="00782F23"/>
    <w:rsid w:val="0078676E"/>
    <w:rsid w:val="007911AE"/>
    <w:rsid w:val="007915AC"/>
    <w:rsid w:val="0079421C"/>
    <w:rsid w:val="007978C4"/>
    <w:rsid w:val="007A2CB6"/>
    <w:rsid w:val="007A4430"/>
    <w:rsid w:val="007A4B34"/>
    <w:rsid w:val="007A604F"/>
    <w:rsid w:val="007B1A6A"/>
    <w:rsid w:val="007B4CF9"/>
    <w:rsid w:val="007C14A7"/>
    <w:rsid w:val="007C28FE"/>
    <w:rsid w:val="007C39E9"/>
    <w:rsid w:val="007D2E7D"/>
    <w:rsid w:val="007D3CF3"/>
    <w:rsid w:val="007D4F35"/>
    <w:rsid w:val="007D68CF"/>
    <w:rsid w:val="007D7DC9"/>
    <w:rsid w:val="007E4F27"/>
    <w:rsid w:val="007F6E6E"/>
    <w:rsid w:val="008029E4"/>
    <w:rsid w:val="00803C3B"/>
    <w:rsid w:val="0081008E"/>
    <w:rsid w:val="00810425"/>
    <w:rsid w:val="00813038"/>
    <w:rsid w:val="00814251"/>
    <w:rsid w:val="008160B1"/>
    <w:rsid w:val="00821900"/>
    <w:rsid w:val="0082292C"/>
    <w:rsid w:val="00822DD1"/>
    <w:rsid w:val="00825E00"/>
    <w:rsid w:val="008301FD"/>
    <w:rsid w:val="00835A89"/>
    <w:rsid w:val="00837D3B"/>
    <w:rsid w:val="00841121"/>
    <w:rsid w:val="0084265E"/>
    <w:rsid w:val="008447E2"/>
    <w:rsid w:val="00847B7B"/>
    <w:rsid w:val="008527A7"/>
    <w:rsid w:val="00854E38"/>
    <w:rsid w:val="008600DE"/>
    <w:rsid w:val="008630A1"/>
    <w:rsid w:val="0086770A"/>
    <w:rsid w:val="0087209C"/>
    <w:rsid w:val="00873C93"/>
    <w:rsid w:val="00876CB1"/>
    <w:rsid w:val="00876DF7"/>
    <w:rsid w:val="008819FE"/>
    <w:rsid w:val="00881A58"/>
    <w:rsid w:val="00883C0F"/>
    <w:rsid w:val="00892DD4"/>
    <w:rsid w:val="008946E8"/>
    <w:rsid w:val="008A0C4F"/>
    <w:rsid w:val="008A1409"/>
    <w:rsid w:val="008A6B58"/>
    <w:rsid w:val="008B6BCC"/>
    <w:rsid w:val="008C3625"/>
    <w:rsid w:val="008C6EAA"/>
    <w:rsid w:val="008D1E31"/>
    <w:rsid w:val="008D2095"/>
    <w:rsid w:val="008E2435"/>
    <w:rsid w:val="008F0D2C"/>
    <w:rsid w:val="008F3867"/>
    <w:rsid w:val="008F3FDD"/>
    <w:rsid w:val="008F416A"/>
    <w:rsid w:val="008F6E62"/>
    <w:rsid w:val="009130D1"/>
    <w:rsid w:val="00923074"/>
    <w:rsid w:val="00930096"/>
    <w:rsid w:val="009327A5"/>
    <w:rsid w:val="00936F89"/>
    <w:rsid w:val="00940748"/>
    <w:rsid w:val="009462EC"/>
    <w:rsid w:val="00946E5B"/>
    <w:rsid w:val="0095178A"/>
    <w:rsid w:val="00960C1C"/>
    <w:rsid w:val="00962101"/>
    <w:rsid w:val="00963530"/>
    <w:rsid w:val="009859B4"/>
    <w:rsid w:val="0099588D"/>
    <w:rsid w:val="00996319"/>
    <w:rsid w:val="009A08CF"/>
    <w:rsid w:val="009A44BF"/>
    <w:rsid w:val="009A4E09"/>
    <w:rsid w:val="009B0966"/>
    <w:rsid w:val="009B0BF1"/>
    <w:rsid w:val="009C4F49"/>
    <w:rsid w:val="009C6970"/>
    <w:rsid w:val="009E06DC"/>
    <w:rsid w:val="009E4E4F"/>
    <w:rsid w:val="009F2693"/>
    <w:rsid w:val="00A01DB3"/>
    <w:rsid w:val="00A06DAF"/>
    <w:rsid w:val="00A10F77"/>
    <w:rsid w:val="00A3002A"/>
    <w:rsid w:val="00A31EF1"/>
    <w:rsid w:val="00A462CB"/>
    <w:rsid w:val="00A47CDC"/>
    <w:rsid w:val="00A5499D"/>
    <w:rsid w:val="00A54BEE"/>
    <w:rsid w:val="00A61001"/>
    <w:rsid w:val="00A61ABA"/>
    <w:rsid w:val="00A6449A"/>
    <w:rsid w:val="00A70895"/>
    <w:rsid w:val="00A72798"/>
    <w:rsid w:val="00A87E72"/>
    <w:rsid w:val="00AA1205"/>
    <w:rsid w:val="00AA2545"/>
    <w:rsid w:val="00AA6A2C"/>
    <w:rsid w:val="00AA771C"/>
    <w:rsid w:val="00AB1B07"/>
    <w:rsid w:val="00AB2550"/>
    <w:rsid w:val="00AB70B7"/>
    <w:rsid w:val="00AC31CC"/>
    <w:rsid w:val="00AC5F80"/>
    <w:rsid w:val="00AE034F"/>
    <w:rsid w:val="00AE1349"/>
    <w:rsid w:val="00AF56DF"/>
    <w:rsid w:val="00B02FE5"/>
    <w:rsid w:val="00B053AC"/>
    <w:rsid w:val="00B075B8"/>
    <w:rsid w:val="00B114C4"/>
    <w:rsid w:val="00B1696F"/>
    <w:rsid w:val="00B2001B"/>
    <w:rsid w:val="00B2159E"/>
    <w:rsid w:val="00B2678C"/>
    <w:rsid w:val="00B429B0"/>
    <w:rsid w:val="00B5489B"/>
    <w:rsid w:val="00B65202"/>
    <w:rsid w:val="00B65D67"/>
    <w:rsid w:val="00B71599"/>
    <w:rsid w:val="00B74475"/>
    <w:rsid w:val="00B75C34"/>
    <w:rsid w:val="00B765DB"/>
    <w:rsid w:val="00B80900"/>
    <w:rsid w:val="00B810EF"/>
    <w:rsid w:val="00B8246A"/>
    <w:rsid w:val="00B85519"/>
    <w:rsid w:val="00B94B1A"/>
    <w:rsid w:val="00B97543"/>
    <w:rsid w:val="00B97A3B"/>
    <w:rsid w:val="00BA36CD"/>
    <w:rsid w:val="00BB08C9"/>
    <w:rsid w:val="00BB3619"/>
    <w:rsid w:val="00BB3EAD"/>
    <w:rsid w:val="00BB4809"/>
    <w:rsid w:val="00BB7315"/>
    <w:rsid w:val="00BC25C2"/>
    <w:rsid w:val="00BC54FC"/>
    <w:rsid w:val="00BC588E"/>
    <w:rsid w:val="00BC6C73"/>
    <w:rsid w:val="00BD13B5"/>
    <w:rsid w:val="00BD377A"/>
    <w:rsid w:val="00BE67F9"/>
    <w:rsid w:val="00BF282C"/>
    <w:rsid w:val="00C004A6"/>
    <w:rsid w:val="00C01921"/>
    <w:rsid w:val="00C0355C"/>
    <w:rsid w:val="00C04D7D"/>
    <w:rsid w:val="00C05E56"/>
    <w:rsid w:val="00C10C1A"/>
    <w:rsid w:val="00C12B9D"/>
    <w:rsid w:val="00C14DC8"/>
    <w:rsid w:val="00C153AC"/>
    <w:rsid w:val="00C159E4"/>
    <w:rsid w:val="00C46296"/>
    <w:rsid w:val="00C4690C"/>
    <w:rsid w:val="00C471EA"/>
    <w:rsid w:val="00C47215"/>
    <w:rsid w:val="00C47985"/>
    <w:rsid w:val="00C52D2E"/>
    <w:rsid w:val="00C5383C"/>
    <w:rsid w:val="00C5506E"/>
    <w:rsid w:val="00C611CD"/>
    <w:rsid w:val="00C61C9A"/>
    <w:rsid w:val="00C62B26"/>
    <w:rsid w:val="00C700E4"/>
    <w:rsid w:val="00C70C89"/>
    <w:rsid w:val="00C7338C"/>
    <w:rsid w:val="00C748B9"/>
    <w:rsid w:val="00C75EB2"/>
    <w:rsid w:val="00C765BE"/>
    <w:rsid w:val="00C87278"/>
    <w:rsid w:val="00C91151"/>
    <w:rsid w:val="00CA22CD"/>
    <w:rsid w:val="00CA5517"/>
    <w:rsid w:val="00CB2322"/>
    <w:rsid w:val="00CB357C"/>
    <w:rsid w:val="00CB649A"/>
    <w:rsid w:val="00CC035B"/>
    <w:rsid w:val="00CC50D4"/>
    <w:rsid w:val="00CC5BBE"/>
    <w:rsid w:val="00CD265D"/>
    <w:rsid w:val="00CD29F8"/>
    <w:rsid w:val="00CD61C6"/>
    <w:rsid w:val="00CD66DD"/>
    <w:rsid w:val="00CE4355"/>
    <w:rsid w:val="00CE59B9"/>
    <w:rsid w:val="00CF7F84"/>
    <w:rsid w:val="00D00702"/>
    <w:rsid w:val="00D0699A"/>
    <w:rsid w:val="00D1052B"/>
    <w:rsid w:val="00D22F47"/>
    <w:rsid w:val="00D408C3"/>
    <w:rsid w:val="00D460A9"/>
    <w:rsid w:val="00D461DF"/>
    <w:rsid w:val="00D4778A"/>
    <w:rsid w:val="00D51370"/>
    <w:rsid w:val="00D517D1"/>
    <w:rsid w:val="00D55B98"/>
    <w:rsid w:val="00D616F8"/>
    <w:rsid w:val="00D653BE"/>
    <w:rsid w:val="00D85F61"/>
    <w:rsid w:val="00D87CE7"/>
    <w:rsid w:val="00D92E61"/>
    <w:rsid w:val="00DB0276"/>
    <w:rsid w:val="00DB14E2"/>
    <w:rsid w:val="00DB1DAB"/>
    <w:rsid w:val="00DB25E8"/>
    <w:rsid w:val="00DB37FF"/>
    <w:rsid w:val="00DB7A8B"/>
    <w:rsid w:val="00DC0F5C"/>
    <w:rsid w:val="00DC6001"/>
    <w:rsid w:val="00DC6F8F"/>
    <w:rsid w:val="00DD232C"/>
    <w:rsid w:val="00DD6435"/>
    <w:rsid w:val="00DE39AC"/>
    <w:rsid w:val="00DE7880"/>
    <w:rsid w:val="00DF2B81"/>
    <w:rsid w:val="00DF350B"/>
    <w:rsid w:val="00E03773"/>
    <w:rsid w:val="00E105C3"/>
    <w:rsid w:val="00E11498"/>
    <w:rsid w:val="00E15BD7"/>
    <w:rsid w:val="00E16568"/>
    <w:rsid w:val="00E22C88"/>
    <w:rsid w:val="00E25D42"/>
    <w:rsid w:val="00E3791C"/>
    <w:rsid w:val="00E379F3"/>
    <w:rsid w:val="00E446F8"/>
    <w:rsid w:val="00E44E2A"/>
    <w:rsid w:val="00E459F1"/>
    <w:rsid w:val="00E51940"/>
    <w:rsid w:val="00E6102A"/>
    <w:rsid w:val="00E6292C"/>
    <w:rsid w:val="00E62BC6"/>
    <w:rsid w:val="00E65AE4"/>
    <w:rsid w:val="00E671AD"/>
    <w:rsid w:val="00E73B1C"/>
    <w:rsid w:val="00E73CC3"/>
    <w:rsid w:val="00E84A97"/>
    <w:rsid w:val="00E856E7"/>
    <w:rsid w:val="00E86D11"/>
    <w:rsid w:val="00EA7D65"/>
    <w:rsid w:val="00EB1EAB"/>
    <w:rsid w:val="00EC5456"/>
    <w:rsid w:val="00ED001A"/>
    <w:rsid w:val="00ED339B"/>
    <w:rsid w:val="00EE5D37"/>
    <w:rsid w:val="00EE6B1C"/>
    <w:rsid w:val="00F00554"/>
    <w:rsid w:val="00F07120"/>
    <w:rsid w:val="00F1263F"/>
    <w:rsid w:val="00F178F5"/>
    <w:rsid w:val="00F22802"/>
    <w:rsid w:val="00F26048"/>
    <w:rsid w:val="00F266C4"/>
    <w:rsid w:val="00F30F24"/>
    <w:rsid w:val="00F3567C"/>
    <w:rsid w:val="00F45B9B"/>
    <w:rsid w:val="00F50CD0"/>
    <w:rsid w:val="00F520B5"/>
    <w:rsid w:val="00F5344E"/>
    <w:rsid w:val="00F6194B"/>
    <w:rsid w:val="00F65C9D"/>
    <w:rsid w:val="00F70FE5"/>
    <w:rsid w:val="00F71172"/>
    <w:rsid w:val="00F72DD7"/>
    <w:rsid w:val="00F76A6D"/>
    <w:rsid w:val="00F84B5B"/>
    <w:rsid w:val="00F869B8"/>
    <w:rsid w:val="00F8712F"/>
    <w:rsid w:val="00F96BAC"/>
    <w:rsid w:val="00FA3795"/>
    <w:rsid w:val="00FB074C"/>
    <w:rsid w:val="00FB47E8"/>
    <w:rsid w:val="00FC0941"/>
    <w:rsid w:val="00FC5CCA"/>
    <w:rsid w:val="00FC6932"/>
    <w:rsid w:val="00FD0DB3"/>
    <w:rsid w:val="00FD1FED"/>
    <w:rsid w:val="00FD24B1"/>
    <w:rsid w:val="00FD33D8"/>
    <w:rsid w:val="00FE144C"/>
    <w:rsid w:val="00FE47AE"/>
    <w:rsid w:val="00FE4ECD"/>
    <w:rsid w:val="00FE767E"/>
    <w:rsid w:val="00FF0C7A"/>
    <w:rsid w:val="00FF534E"/>
    <w:rsid w:val="00FF6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0753F-F5CF-44E6-941F-5C14E047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E22"/>
    <w:pPr>
      <w:spacing w:after="0" w:line="240" w:lineRule="auto"/>
    </w:pPr>
    <w:rPr>
      <w:rFonts w:ascii="Times New Roman" w:hAnsi="Times New Roman" w:cs="Calibri"/>
      <w:sz w:val="28"/>
      <w:szCs w:val="28"/>
      <w:lang w:val="ru-RU"/>
    </w:rPr>
  </w:style>
  <w:style w:type="paragraph" w:styleId="1">
    <w:name w:val="heading 1"/>
    <w:basedOn w:val="a"/>
    <w:link w:val="10"/>
    <w:uiPriority w:val="1"/>
    <w:qFormat/>
    <w:rsid w:val="00183E22"/>
    <w:pPr>
      <w:widowControl w:val="0"/>
      <w:autoSpaceDE w:val="0"/>
      <w:autoSpaceDN w:val="0"/>
      <w:ind w:left="1306"/>
      <w:outlineLvl w:val="0"/>
    </w:pPr>
    <w:rPr>
      <w:rFonts w:ascii="Courier New" w:eastAsia="Courier New" w:hAnsi="Courier New" w:cs="Courier New"/>
      <w:sz w:val="26"/>
      <w:szCs w:val="26"/>
      <w:lang w:val="en-US"/>
    </w:rPr>
  </w:style>
  <w:style w:type="paragraph" w:styleId="2">
    <w:name w:val="heading 2"/>
    <w:basedOn w:val="a"/>
    <w:next w:val="a"/>
    <w:link w:val="20"/>
    <w:uiPriority w:val="9"/>
    <w:semiHidden/>
    <w:unhideWhenUsed/>
    <w:qFormat/>
    <w:rsid w:val="007F6E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3E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3E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6E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83E22"/>
    <w:rPr>
      <w:rFonts w:ascii="Courier New" w:eastAsia="Courier New" w:hAnsi="Courier New" w:cs="Courier New"/>
      <w:sz w:val="26"/>
      <w:szCs w:val="26"/>
      <w:lang w:val="en-US"/>
    </w:rPr>
  </w:style>
  <w:style w:type="character" w:customStyle="1" w:styleId="30">
    <w:name w:val="Заголовок 3 Знак"/>
    <w:basedOn w:val="a0"/>
    <w:link w:val="3"/>
    <w:uiPriority w:val="9"/>
    <w:semiHidden/>
    <w:rsid w:val="00183E22"/>
    <w:rPr>
      <w:rFonts w:asciiTheme="majorHAnsi" w:eastAsiaTheme="majorEastAsia" w:hAnsiTheme="majorHAnsi" w:cstheme="majorBidi"/>
      <w:b/>
      <w:bCs/>
      <w:color w:val="4F81BD" w:themeColor="accent1"/>
      <w:sz w:val="28"/>
      <w:szCs w:val="28"/>
      <w:lang w:val="ru-RU"/>
    </w:rPr>
  </w:style>
  <w:style w:type="character" w:customStyle="1" w:styleId="40">
    <w:name w:val="Заголовок 4 Знак"/>
    <w:basedOn w:val="a0"/>
    <w:link w:val="4"/>
    <w:uiPriority w:val="9"/>
    <w:semiHidden/>
    <w:rsid w:val="00183E22"/>
    <w:rPr>
      <w:rFonts w:asciiTheme="majorHAnsi" w:eastAsiaTheme="majorEastAsia" w:hAnsiTheme="majorHAnsi" w:cstheme="majorBidi"/>
      <w:b/>
      <w:bCs/>
      <w:i/>
      <w:iCs/>
      <w:color w:val="4F81BD" w:themeColor="accent1"/>
      <w:sz w:val="28"/>
      <w:szCs w:val="28"/>
      <w:lang w:val="ru-RU"/>
    </w:rPr>
  </w:style>
  <w:style w:type="paragraph" w:styleId="a3">
    <w:name w:val="Body Text"/>
    <w:basedOn w:val="a"/>
    <w:link w:val="a4"/>
    <w:rsid w:val="00183E22"/>
    <w:pPr>
      <w:jc w:val="both"/>
    </w:pPr>
    <w:rPr>
      <w:rFonts w:eastAsia="Times New Roman" w:cs="Times New Roman"/>
      <w:sz w:val="20"/>
      <w:szCs w:val="24"/>
      <w:lang w:val="x-none" w:eastAsia="ru-RU"/>
    </w:rPr>
  </w:style>
  <w:style w:type="character" w:customStyle="1" w:styleId="a4">
    <w:name w:val="Основной текст Знак"/>
    <w:basedOn w:val="a0"/>
    <w:link w:val="a3"/>
    <w:rsid w:val="00183E22"/>
    <w:rPr>
      <w:rFonts w:ascii="Times New Roman" w:eastAsia="Times New Roman" w:hAnsi="Times New Roman" w:cs="Times New Roman"/>
      <w:sz w:val="20"/>
      <w:szCs w:val="24"/>
      <w:lang w:val="x-none" w:eastAsia="ru-RU"/>
    </w:rPr>
  </w:style>
  <w:style w:type="character" w:customStyle="1" w:styleId="a5">
    <w:name w:val="Верхний колонтитул Знак"/>
    <w:link w:val="a6"/>
    <w:uiPriority w:val="99"/>
    <w:rsid w:val="00183E22"/>
    <w:rPr>
      <w:rFonts w:eastAsia="Calibri" w:cs="Calibri"/>
    </w:rPr>
  </w:style>
  <w:style w:type="paragraph" w:styleId="a6">
    <w:name w:val="header"/>
    <w:basedOn w:val="a"/>
    <w:link w:val="a5"/>
    <w:uiPriority w:val="99"/>
    <w:unhideWhenUsed/>
    <w:rsid w:val="00183E22"/>
    <w:pPr>
      <w:tabs>
        <w:tab w:val="center" w:pos="4677"/>
        <w:tab w:val="right" w:pos="9355"/>
      </w:tabs>
    </w:pPr>
    <w:rPr>
      <w:rFonts w:asciiTheme="minorHAnsi" w:eastAsia="Calibri" w:hAnsiTheme="minorHAnsi"/>
      <w:sz w:val="22"/>
      <w:szCs w:val="22"/>
      <w:lang w:val="uk-UA"/>
    </w:rPr>
  </w:style>
  <w:style w:type="character" w:customStyle="1" w:styleId="11">
    <w:name w:val="Верхній колонтитул Знак1"/>
    <w:basedOn w:val="a0"/>
    <w:uiPriority w:val="99"/>
    <w:semiHidden/>
    <w:rsid w:val="00183E22"/>
    <w:rPr>
      <w:rFonts w:ascii="Times New Roman" w:hAnsi="Times New Roman" w:cs="Calibri"/>
      <w:sz w:val="28"/>
      <w:szCs w:val="28"/>
      <w:lang w:val="ru-RU"/>
    </w:rPr>
  </w:style>
  <w:style w:type="character" w:customStyle="1" w:styleId="12">
    <w:name w:val="Верхний колонтитул Знак1"/>
    <w:basedOn w:val="a0"/>
    <w:uiPriority w:val="99"/>
    <w:semiHidden/>
    <w:rsid w:val="00183E22"/>
    <w:rPr>
      <w:rFonts w:ascii="Times New Roman" w:eastAsia="Calibri" w:hAnsi="Times New Roman" w:cs="Calibri"/>
      <w:sz w:val="28"/>
      <w:szCs w:val="28"/>
      <w:lang w:val="uk-UA"/>
    </w:rPr>
  </w:style>
  <w:style w:type="paragraph" w:styleId="a7">
    <w:name w:val="Body Text Indent"/>
    <w:basedOn w:val="a"/>
    <w:link w:val="a8"/>
    <w:uiPriority w:val="99"/>
    <w:rsid w:val="00183E22"/>
    <w:pPr>
      <w:spacing w:after="120"/>
      <w:ind w:left="283"/>
    </w:pPr>
    <w:rPr>
      <w:rFonts w:eastAsia="Times New Roman" w:cs="Times New Roman"/>
      <w:sz w:val="24"/>
      <w:szCs w:val="24"/>
      <w:lang w:val="x-none" w:eastAsia="ru-RU"/>
    </w:rPr>
  </w:style>
  <w:style w:type="character" w:customStyle="1" w:styleId="a8">
    <w:name w:val="Основной текст с отступом Знак"/>
    <w:basedOn w:val="a0"/>
    <w:link w:val="a7"/>
    <w:uiPriority w:val="99"/>
    <w:rsid w:val="00183E22"/>
    <w:rPr>
      <w:rFonts w:ascii="Times New Roman" w:eastAsia="Times New Roman" w:hAnsi="Times New Roman" w:cs="Times New Roman"/>
      <w:sz w:val="24"/>
      <w:szCs w:val="24"/>
      <w:lang w:val="x-none" w:eastAsia="ru-RU"/>
    </w:rPr>
  </w:style>
  <w:style w:type="character" w:styleId="a9">
    <w:name w:val="Strong"/>
    <w:uiPriority w:val="22"/>
    <w:qFormat/>
    <w:rsid w:val="00183E22"/>
    <w:rPr>
      <w:b/>
      <w:bCs/>
    </w:rPr>
  </w:style>
  <w:style w:type="character" w:customStyle="1" w:styleId="cnewsc">
    <w:name w:val="cnewsc"/>
    <w:basedOn w:val="a0"/>
    <w:rsid w:val="00183E22"/>
  </w:style>
  <w:style w:type="character" w:customStyle="1" w:styleId="21">
    <w:name w:val="Основной текст 2 Знак"/>
    <w:link w:val="22"/>
    <w:uiPriority w:val="99"/>
    <w:semiHidden/>
    <w:rsid w:val="00183E22"/>
    <w:rPr>
      <w:rFonts w:eastAsia="Times New Roman"/>
      <w:sz w:val="24"/>
      <w:szCs w:val="24"/>
      <w:lang w:eastAsia="ru-RU"/>
    </w:rPr>
  </w:style>
  <w:style w:type="paragraph" w:styleId="22">
    <w:name w:val="Body Text 2"/>
    <w:basedOn w:val="a"/>
    <w:link w:val="21"/>
    <w:uiPriority w:val="99"/>
    <w:semiHidden/>
    <w:unhideWhenUsed/>
    <w:rsid w:val="00183E22"/>
    <w:pPr>
      <w:spacing w:after="120" w:line="480" w:lineRule="auto"/>
    </w:pPr>
    <w:rPr>
      <w:rFonts w:asciiTheme="minorHAnsi" w:eastAsia="Times New Roman" w:hAnsiTheme="minorHAnsi" w:cstheme="minorBidi"/>
      <w:sz w:val="24"/>
      <w:szCs w:val="24"/>
      <w:lang w:val="uk-UA" w:eastAsia="ru-RU"/>
    </w:rPr>
  </w:style>
  <w:style w:type="character" w:customStyle="1" w:styleId="210">
    <w:name w:val="Основний текст 2 Знак1"/>
    <w:basedOn w:val="a0"/>
    <w:uiPriority w:val="99"/>
    <w:semiHidden/>
    <w:rsid w:val="00183E22"/>
    <w:rPr>
      <w:rFonts w:ascii="Times New Roman" w:hAnsi="Times New Roman" w:cs="Calibri"/>
      <w:sz w:val="28"/>
      <w:szCs w:val="28"/>
      <w:lang w:val="ru-RU"/>
    </w:rPr>
  </w:style>
  <w:style w:type="character" w:customStyle="1" w:styleId="211">
    <w:name w:val="Основной текст 2 Знак1"/>
    <w:basedOn w:val="a0"/>
    <w:uiPriority w:val="99"/>
    <w:semiHidden/>
    <w:rsid w:val="00183E22"/>
    <w:rPr>
      <w:rFonts w:ascii="Times New Roman" w:eastAsia="Calibri" w:hAnsi="Times New Roman" w:cs="Calibri"/>
      <w:sz w:val="28"/>
      <w:szCs w:val="28"/>
      <w:lang w:val="uk-UA"/>
    </w:rPr>
  </w:style>
  <w:style w:type="character" w:styleId="aa">
    <w:name w:val="Hyperlink"/>
    <w:uiPriority w:val="99"/>
    <w:unhideWhenUsed/>
    <w:rsid w:val="00183E22"/>
    <w:rPr>
      <w:color w:val="0000FF"/>
      <w:u w:val="single"/>
    </w:rPr>
  </w:style>
  <w:style w:type="paragraph" w:styleId="ab">
    <w:name w:val="Normal (Web)"/>
    <w:basedOn w:val="a"/>
    <w:uiPriority w:val="99"/>
    <w:rsid w:val="00183E22"/>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183E22"/>
  </w:style>
  <w:style w:type="paragraph" w:styleId="ac">
    <w:name w:val="No Spacing"/>
    <w:link w:val="ad"/>
    <w:uiPriority w:val="1"/>
    <w:qFormat/>
    <w:rsid w:val="00183E22"/>
    <w:pPr>
      <w:spacing w:after="0" w:line="240" w:lineRule="auto"/>
    </w:pPr>
    <w:rPr>
      <w:rFonts w:ascii="Calibri" w:eastAsia="Calibri" w:hAnsi="Calibri" w:cs="Times New Roman"/>
      <w:sz w:val="28"/>
      <w:szCs w:val="28"/>
      <w:lang w:val="ru-RU"/>
    </w:rPr>
  </w:style>
  <w:style w:type="paragraph" w:customStyle="1" w:styleId="Pa3">
    <w:name w:val="Pa3"/>
    <w:basedOn w:val="a"/>
    <w:next w:val="a"/>
    <w:rsid w:val="00183E22"/>
    <w:pPr>
      <w:autoSpaceDE w:val="0"/>
      <w:autoSpaceDN w:val="0"/>
      <w:adjustRightInd w:val="0"/>
      <w:spacing w:line="241" w:lineRule="atLeast"/>
    </w:pPr>
    <w:rPr>
      <w:rFonts w:ascii="Arial Narrow" w:eastAsia="Times New Roman" w:hAnsi="Arial Narrow" w:cs="Times New Roman"/>
      <w:sz w:val="24"/>
      <w:szCs w:val="24"/>
      <w:lang w:eastAsia="ru-RU"/>
    </w:rPr>
  </w:style>
  <w:style w:type="character" w:customStyle="1" w:styleId="rvts7">
    <w:name w:val="rvts7"/>
    <w:basedOn w:val="a0"/>
    <w:rsid w:val="00183E22"/>
  </w:style>
  <w:style w:type="paragraph" w:styleId="ae">
    <w:name w:val="footnote text"/>
    <w:basedOn w:val="a"/>
    <w:link w:val="af"/>
    <w:semiHidden/>
    <w:unhideWhenUsed/>
    <w:rsid w:val="00183E22"/>
    <w:rPr>
      <w:rFonts w:eastAsia="Times New Roman" w:cs="Times New Roman"/>
      <w:sz w:val="20"/>
      <w:szCs w:val="20"/>
      <w:lang w:eastAsia="ru-RU"/>
    </w:rPr>
  </w:style>
  <w:style w:type="character" w:customStyle="1" w:styleId="af">
    <w:name w:val="Текст сноски Знак"/>
    <w:basedOn w:val="a0"/>
    <w:link w:val="ae"/>
    <w:semiHidden/>
    <w:rsid w:val="00183E22"/>
    <w:rPr>
      <w:rFonts w:ascii="Times New Roman" w:eastAsia="Times New Roman" w:hAnsi="Times New Roman" w:cs="Times New Roman"/>
      <w:sz w:val="20"/>
      <w:szCs w:val="20"/>
      <w:lang w:val="ru-RU" w:eastAsia="ru-RU"/>
    </w:rPr>
  </w:style>
  <w:style w:type="character" w:customStyle="1" w:styleId="spelle">
    <w:name w:val="spelle"/>
    <w:rsid w:val="00183E22"/>
  </w:style>
  <w:style w:type="character" w:customStyle="1" w:styleId="af0">
    <w:name w:val="Основной текст_"/>
    <w:link w:val="13"/>
    <w:rsid w:val="00183E22"/>
    <w:rPr>
      <w:rFonts w:ascii="Times New Roman" w:hAnsi="Times New Roman" w:cs="Times New Roman" w:hint="default"/>
      <w:strike w:val="0"/>
      <w:dstrike w:val="0"/>
      <w:sz w:val="26"/>
      <w:szCs w:val="26"/>
      <w:u w:val="none"/>
      <w:effect w:val="none"/>
    </w:rPr>
  </w:style>
  <w:style w:type="character" w:customStyle="1" w:styleId="grame">
    <w:name w:val="grame"/>
    <w:rsid w:val="00183E22"/>
  </w:style>
  <w:style w:type="paragraph" w:styleId="af1">
    <w:name w:val="List Paragraph"/>
    <w:basedOn w:val="a"/>
    <w:uiPriority w:val="34"/>
    <w:qFormat/>
    <w:rsid w:val="00183E22"/>
    <w:pPr>
      <w:ind w:left="720"/>
      <w:contextualSpacing/>
    </w:pPr>
    <w:rPr>
      <w:rFonts w:eastAsia="Times New Roman" w:cs="Times New Roman"/>
      <w:sz w:val="24"/>
      <w:szCs w:val="24"/>
      <w:lang w:eastAsia="ru-RU"/>
    </w:rPr>
  </w:style>
  <w:style w:type="character" w:styleId="af2">
    <w:name w:val="Emphasis"/>
    <w:basedOn w:val="a0"/>
    <w:uiPriority w:val="20"/>
    <w:qFormat/>
    <w:rsid w:val="00183E22"/>
    <w:rPr>
      <w:i/>
      <w:iCs/>
    </w:rPr>
  </w:style>
  <w:style w:type="paragraph" w:styleId="af3">
    <w:name w:val="Balloon Text"/>
    <w:basedOn w:val="a"/>
    <w:link w:val="af4"/>
    <w:uiPriority w:val="99"/>
    <w:semiHidden/>
    <w:unhideWhenUsed/>
    <w:rsid w:val="00183E22"/>
    <w:rPr>
      <w:rFonts w:ascii="Tahoma" w:hAnsi="Tahoma" w:cs="Tahoma"/>
      <w:sz w:val="16"/>
      <w:szCs w:val="16"/>
    </w:rPr>
  </w:style>
  <w:style w:type="character" w:customStyle="1" w:styleId="af4">
    <w:name w:val="Текст выноски Знак"/>
    <w:basedOn w:val="a0"/>
    <w:link w:val="af3"/>
    <w:uiPriority w:val="99"/>
    <w:semiHidden/>
    <w:rsid w:val="00183E22"/>
    <w:rPr>
      <w:rFonts w:ascii="Tahoma" w:hAnsi="Tahoma" w:cs="Tahoma"/>
      <w:sz w:val="16"/>
      <w:szCs w:val="16"/>
      <w:lang w:val="ru-RU"/>
    </w:rPr>
  </w:style>
  <w:style w:type="paragraph" w:customStyle="1" w:styleId="212">
    <w:name w:val="Знак Знак2 Знак Знак Знак Знак1 Знак Знак"/>
    <w:basedOn w:val="a"/>
    <w:rsid w:val="00183E22"/>
    <w:rPr>
      <w:rFonts w:ascii="Verdana" w:eastAsia="Times New Roman" w:hAnsi="Verdana" w:cs="Verdana"/>
      <w:sz w:val="20"/>
      <w:szCs w:val="20"/>
      <w:lang w:val="en-US"/>
    </w:rPr>
  </w:style>
  <w:style w:type="paragraph" w:styleId="af5">
    <w:name w:val="caption"/>
    <w:basedOn w:val="a"/>
    <w:next w:val="a"/>
    <w:uiPriority w:val="35"/>
    <w:unhideWhenUsed/>
    <w:qFormat/>
    <w:rsid w:val="00183E22"/>
    <w:pPr>
      <w:spacing w:after="200"/>
    </w:pPr>
    <w:rPr>
      <w:b/>
      <w:bCs/>
      <w:color w:val="4F81BD" w:themeColor="accent1"/>
      <w:sz w:val="18"/>
      <w:szCs w:val="18"/>
    </w:rPr>
  </w:style>
  <w:style w:type="table" w:styleId="af6">
    <w:name w:val="Table Grid"/>
    <w:basedOn w:val="a1"/>
    <w:uiPriority w:val="59"/>
    <w:rsid w:val="00183E2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uiPriority w:val="1"/>
    <w:rsid w:val="00183E22"/>
    <w:rPr>
      <w:rFonts w:ascii="Calibri" w:eastAsia="Calibri" w:hAnsi="Calibri" w:cs="Times New Roman"/>
      <w:sz w:val="28"/>
      <w:szCs w:val="28"/>
      <w:lang w:val="ru-RU"/>
    </w:rPr>
  </w:style>
  <w:style w:type="paragraph" w:customStyle="1" w:styleId="14">
    <w:name w:val="Абзац списка1"/>
    <w:basedOn w:val="a"/>
    <w:rsid w:val="00183E22"/>
    <w:pPr>
      <w:spacing w:after="200" w:line="276" w:lineRule="auto"/>
      <w:ind w:left="720"/>
    </w:pPr>
    <w:rPr>
      <w:rFonts w:ascii="Calibri" w:eastAsia="Calibri" w:hAnsi="Calibri"/>
      <w:sz w:val="22"/>
      <w:szCs w:val="22"/>
      <w:lang w:eastAsia="ru-RU"/>
    </w:rPr>
  </w:style>
  <w:style w:type="paragraph" w:styleId="af7">
    <w:name w:val="footer"/>
    <w:basedOn w:val="a"/>
    <w:link w:val="af8"/>
    <w:unhideWhenUsed/>
    <w:rsid w:val="00183E22"/>
    <w:pPr>
      <w:tabs>
        <w:tab w:val="center" w:pos="4677"/>
        <w:tab w:val="right" w:pos="9355"/>
      </w:tabs>
    </w:pPr>
  </w:style>
  <w:style w:type="character" w:customStyle="1" w:styleId="af8">
    <w:name w:val="Нижний колонтитул Знак"/>
    <w:basedOn w:val="a0"/>
    <w:link w:val="af7"/>
    <w:rsid w:val="00183E22"/>
    <w:rPr>
      <w:rFonts w:ascii="Times New Roman" w:hAnsi="Times New Roman" w:cs="Calibri"/>
      <w:sz w:val="28"/>
      <w:szCs w:val="28"/>
      <w:lang w:val="ru-RU"/>
    </w:rPr>
  </w:style>
  <w:style w:type="paragraph" w:styleId="23">
    <w:name w:val="Body Text Indent 2"/>
    <w:basedOn w:val="a"/>
    <w:link w:val="24"/>
    <w:uiPriority w:val="99"/>
    <w:semiHidden/>
    <w:unhideWhenUsed/>
    <w:rsid w:val="00E86D11"/>
    <w:pPr>
      <w:spacing w:after="120" w:line="480" w:lineRule="auto"/>
      <w:ind w:left="283"/>
    </w:pPr>
  </w:style>
  <w:style w:type="character" w:customStyle="1" w:styleId="24">
    <w:name w:val="Основной текст с отступом 2 Знак"/>
    <w:basedOn w:val="a0"/>
    <w:link w:val="23"/>
    <w:uiPriority w:val="99"/>
    <w:semiHidden/>
    <w:rsid w:val="00E86D11"/>
    <w:rPr>
      <w:rFonts w:ascii="Times New Roman" w:hAnsi="Times New Roman" w:cs="Calibri"/>
      <w:sz w:val="28"/>
      <w:szCs w:val="28"/>
      <w:lang w:val="ru-RU"/>
    </w:rPr>
  </w:style>
  <w:style w:type="paragraph" w:customStyle="1" w:styleId="15">
    <w:name w:val="Без интервала1"/>
    <w:link w:val="NoSpacing"/>
    <w:rsid w:val="00004FDE"/>
    <w:pPr>
      <w:spacing w:after="0" w:line="240" w:lineRule="auto"/>
    </w:pPr>
    <w:rPr>
      <w:rFonts w:ascii="Calibri" w:eastAsia="Times New Roman" w:hAnsi="Calibri" w:cs="Times New Roman"/>
      <w:lang w:val="ru-RU" w:eastAsia="ru-RU"/>
    </w:rPr>
  </w:style>
  <w:style w:type="character" w:customStyle="1" w:styleId="NoSpacing">
    <w:name w:val="No Spacing Знак"/>
    <w:basedOn w:val="a0"/>
    <w:link w:val="15"/>
    <w:rsid w:val="00004FDE"/>
    <w:rPr>
      <w:rFonts w:ascii="Calibri" w:eastAsia="Times New Roman" w:hAnsi="Calibri" w:cs="Times New Roman"/>
      <w:lang w:val="ru-RU" w:eastAsia="ru-RU"/>
    </w:rPr>
  </w:style>
  <w:style w:type="paragraph" w:customStyle="1" w:styleId="16">
    <w:name w:val="Абзац списку1"/>
    <w:basedOn w:val="a"/>
    <w:rsid w:val="006253FF"/>
    <w:pPr>
      <w:spacing w:after="200" w:line="276" w:lineRule="auto"/>
      <w:ind w:left="720"/>
    </w:pPr>
    <w:rPr>
      <w:rFonts w:ascii="Calibri" w:eastAsia="Calibri" w:hAnsi="Calibri"/>
      <w:sz w:val="22"/>
      <w:szCs w:val="22"/>
      <w:lang w:eastAsia="ru-RU"/>
    </w:rPr>
  </w:style>
  <w:style w:type="paragraph" w:customStyle="1" w:styleId="rvps27">
    <w:name w:val="rvps27"/>
    <w:basedOn w:val="a"/>
    <w:rsid w:val="006253FF"/>
    <w:pPr>
      <w:spacing w:before="100" w:beforeAutospacing="1" w:after="100" w:afterAutospacing="1"/>
    </w:pPr>
    <w:rPr>
      <w:rFonts w:ascii="Calibri" w:eastAsia="Times New Roman" w:hAnsi="Calibri"/>
      <w:sz w:val="24"/>
      <w:szCs w:val="24"/>
      <w:lang w:eastAsia="ru-RU"/>
    </w:rPr>
  </w:style>
  <w:style w:type="table" w:customStyle="1" w:styleId="25">
    <w:name w:val="Сетка таблицы2"/>
    <w:basedOn w:val="a1"/>
    <w:uiPriority w:val="39"/>
    <w:rsid w:val="004012E8"/>
    <w:pPr>
      <w:spacing w:after="0" w:line="240" w:lineRule="auto"/>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9F2693"/>
    <w:rPr>
      <w:color w:val="800080" w:themeColor="followedHyperlink"/>
      <w:u w:val="single"/>
    </w:rPr>
  </w:style>
  <w:style w:type="paragraph" w:customStyle="1" w:styleId="13">
    <w:name w:val="Основной текст1"/>
    <w:basedOn w:val="a"/>
    <w:link w:val="af0"/>
    <w:rsid w:val="00D616F8"/>
    <w:pPr>
      <w:widowControl w:val="0"/>
      <w:shd w:val="clear" w:color="auto" w:fill="FFFFFF"/>
      <w:spacing w:before="300" w:line="317" w:lineRule="exact"/>
      <w:ind w:firstLine="580"/>
      <w:jc w:val="both"/>
    </w:pPr>
    <w:rPr>
      <w:rFonts w:cs="Times New Roman"/>
      <w:sz w:val="26"/>
      <w:szCs w:val="26"/>
      <w:lang w:val="uk-UA"/>
    </w:rPr>
  </w:style>
  <w:style w:type="paragraph" w:customStyle="1" w:styleId="-">
    <w:name w:val="Таблица - текст"/>
    <w:basedOn w:val="a"/>
    <w:link w:val="-0"/>
    <w:rsid w:val="00D616F8"/>
    <w:rPr>
      <w:rFonts w:ascii="Arial Narrow" w:eastAsia="Times New Roman" w:hAnsi="Arial Narrow" w:cs="Times New Roman"/>
      <w:color w:val="000000"/>
      <w:sz w:val="16"/>
      <w:szCs w:val="24"/>
      <w:lang w:val="x-none" w:eastAsia="x-none"/>
    </w:rPr>
  </w:style>
  <w:style w:type="character" w:customStyle="1" w:styleId="-0">
    <w:name w:val="Таблица - текст Знак"/>
    <w:link w:val="-"/>
    <w:rsid w:val="00D616F8"/>
    <w:rPr>
      <w:rFonts w:ascii="Arial Narrow" w:eastAsia="Times New Roman" w:hAnsi="Arial Narrow" w:cs="Times New Roman"/>
      <w:color w:val="000000"/>
      <w:sz w:val="16"/>
      <w:szCs w:val="24"/>
      <w:lang w:val="x-none" w:eastAsia="x-none"/>
    </w:rPr>
  </w:style>
  <w:style w:type="paragraph" w:customStyle="1" w:styleId="-1">
    <w:name w:val="Таблица - цифры"/>
    <w:basedOn w:val="-"/>
    <w:rsid w:val="00D616F8"/>
    <w:pPr>
      <w:keepLines/>
      <w:jc w:val="right"/>
    </w:pPr>
  </w:style>
  <w:style w:type="paragraph" w:customStyle="1" w:styleId="-2">
    <w:name w:val="Таблица - шапка"/>
    <w:basedOn w:val="-"/>
    <w:next w:val="-"/>
    <w:rsid w:val="00D616F8"/>
    <w:pPr>
      <w:keepLines/>
      <w:jc w:val="center"/>
    </w:pPr>
    <w:rPr>
      <w:b/>
    </w:rPr>
  </w:style>
  <w:style w:type="character" w:customStyle="1" w:styleId="-3">
    <w:name w:val="Текст - выделение"/>
    <w:rsid w:val="00D616F8"/>
    <w:rPr>
      <w:b/>
      <w:color w:val="073A78"/>
    </w:rPr>
  </w:style>
  <w:style w:type="character" w:customStyle="1" w:styleId="20">
    <w:name w:val="Заголовок 2 Знак"/>
    <w:basedOn w:val="a0"/>
    <w:link w:val="2"/>
    <w:uiPriority w:val="9"/>
    <w:semiHidden/>
    <w:rsid w:val="007F6E6E"/>
    <w:rPr>
      <w:rFonts w:asciiTheme="majorHAnsi" w:eastAsiaTheme="majorEastAsia" w:hAnsiTheme="majorHAnsi" w:cstheme="majorBidi"/>
      <w:b/>
      <w:bCs/>
      <w:color w:val="4F81BD" w:themeColor="accent1"/>
      <w:sz w:val="26"/>
      <w:szCs w:val="26"/>
      <w:lang w:val="ru-RU"/>
    </w:rPr>
  </w:style>
  <w:style w:type="character" w:customStyle="1" w:styleId="50">
    <w:name w:val="Заголовок 5 Знак"/>
    <w:basedOn w:val="a0"/>
    <w:link w:val="5"/>
    <w:uiPriority w:val="9"/>
    <w:semiHidden/>
    <w:rsid w:val="007F6E6E"/>
    <w:rPr>
      <w:rFonts w:asciiTheme="majorHAnsi" w:eastAsiaTheme="majorEastAsia" w:hAnsiTheme="majorHAnsi" w:cstheme="majorBidi"/>
      <w:color w:val="243F60" w:themeColor="accent1" w:themeShade="7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5012">
      <w:bodyDiv w:val="1"/>
      <w:marLeft w:val="0"/>
      <w:marRight w:val="0"/>
      <w:marTop w:val="0"/>
      <w:marBottom w:val="0"/>
      <w:divBdr>
        <w:top w:val="none" w:sz="0" w:space="0" w:color="auto"/>
        <w:left w:val="none" w:sz="0" w:space="0" w:color="auto"/>
        <w:bottom w:val="none" w:sz="0" w:space="0" w:color="auto"/>
        <w:right w:val="none" w:sz="0" w:space="0" w:color="auto"/>
      </w:divBdr>
    </w:div>
    <w:div w:id="397752631">
      <w:bodyDiv w:val="1"/>
      <w:marLeft w:val="0"/>
      <w:marRight w:val="0"/>
      <w:marTop w:val="0"/>
      <w:marBottom w:val="0"/>
      <w:divBdr>
        <w:top w:val="none" w:sz="0" w:space="0" w:color="auto"/>
        <w:left w:val="none" w:sz="0" w:space="0" w:color="auto"/>
        <w:bottom w:val="none" w:sz="0" w:space="0" w:color="auto"/>
        <w:right w:val="none" w:sz="0" w:space="0" w:color="auto"/>
      </w:divBdr>
    </w:div>
    <w:div w:id="563417853">
      <w:bodyDiv w:val="1"/>
      <w:marLeft w:val="0"/>
      <w:marRight w:val="0"/>
      <w:marTop w:val="0"/>
      <w:marBottom w:val="0"/>
      <w:divBdr>
        <w:top w:val="none" w:sz="0" w:space="0" w:color="auto"/>
        <w:left w:val="none" w:sz="0" w:space="0" w:color="auto"/>
        <w:bottom w:val="none" w:sz="0" w:space="0" w:color="auto"/>
        <w:right w:val="none" w:sz="0" w:space="0" w:color="auto"/>
      </w:divBdr>
    </w:div>
    <w:div w:id="639460526">
      <w:bodyDiv w:val="1"/>
      <w:marLeft w:val="0"/>
      <w:marRight w:val="0"/>
      <w:marTop w:val="0"/>
      <w:marBottom w:val="0"/>
      <w:divBdr>
        <w:top w:val="none" w:sz="0" w:space="0" w:color="auto"/>
        <w:left w:val="none" w:sz="0" w:space="0" w:color="auto"/>
        <w:bottom w:val="none" w:sz="0" w:space="0" w:color="auto"/>
        <w:right w:val="none" w:sz="0" w:space="0" w:color="auto"/>
      </w:divBdr>
    </w:div>
    <w:div w:id="716198870">
      <w:bodyDiv w:val="1"/>
      <w:marLeft w:val="0"/>
      <w:marRight w:val="0"/>
      <w:marTop w:val="0"/>
      <w:marBottom w:val="0"/>
      <w:divBdr>
        <w:top w:val="none" w:sz="0" w:space="0" w:color="auto"/>
        <w:left w:val="none" w:sz="0" w:space="0" w:color="auto"/>
        <w:bottom w:val="none" w:sz="0" w:space="0" w:color="auto"/>
        <w:right w:val="none" w:sz="0" w:space="0" w:color="auto"/>
      </w:divBdr>
    </w:div>
    <w:div w:id="1047027582">
      <w:bodyDiv w:val="1"/>
      <w:marLeft w:val="0"/>
      <w:marRight w:val="0"/>
      <w:marTop w:val="0"/>
      <w:marBottom w:val="0"/>
      <w:divBdr>
        <w:top w:val="none" w:sz="0" w:space="0" w:color="auto"/>
        <w:left w:val="none" w:sz="0" w:space="0" w:color="auto"/>
        <w:bottom w:val="none" w:sz="0" w:space="0" w:color="auto"/>
        <w:right w:val="none" w:sz="0" w:space="0" w:color="auto"/>
      </w:divBdr>
    </w:div>
    <w:div w:id="1075589474">
      <w:bodyDiv w:val="1"/>
      <w:marLeft w:val="0"/>
      <w:marRight w:val="0"/>
      <w:marTop w:val="0"/>
      <w:marBottom w:val="0"/>
      <w:divBdr>
        <w:top w:val="none" w:sz="0" w:space="0" w:color="auto"/>
        <w:left w:val="none" w:sz="0" w:space="0" w:color="auto"/>
        <w:bottom w:val="none" w:sz="0" w:space="0" w:color="auto"/>
        <w:right w:val="none" w:sz="0" w:space="0" w:color="auto"/>
      </w:divBdr>
    </w:div>
    <w:div w:id="1123578822">
      <w:bodyDiv w:val="1"/>
      <w:marLeft w:val="0"/>
      <w:marRight w:val="0"/>
      <w:marTop w:val="0"/>
      <w:marBottom w:val="0"/>
      <w:divBdr>
        <w:top w:val="none" w:sz="0" w:space="0" w:color="auto"/>
        <w:left w:val="none" w:sz="0" w:space="0" w:color="auto"/>
        <w:bottom w:val="none" w:sz="0" w:space="0" w:color="auto"/>
        <w:right w:val="none" w:sz="0" w:space="0" w:color="auto"/>
      </w:divBdr>
    </w:div>
    <w:div w:id="1179002203">
      <w:bodyDiv w:val="1"/>
      <w:marLeft w:val="0"/>
      <w:marRight w:val="0"/>
      <w:marTop w:val="0"/>
      <w:marBottom w:val="0"/>
      <w:divBdr>
        <w:top w:val="none" w:sz="0" w:space="0" w:color="auto"/>
        <w:left w:val="none" w:sz="0" w:space="0" w:color="auto"/>
        <w:bottom w:val="none" w:sz="0" w:space="0" w:color="auto"/>
        <w:right w:val="none" w:sz="0" w:space="0" w:color="auto"/>
      </w:divBdr>
    </w:div>
    <w:div w:id="1219708410">
      <w:bodyDiv w:val="1"/>
      <w:marLeft w:val="0"/>
      <w:marRight w:val="0"/>
      <w:marTop w:val="0"/>
      <w:marBottom w:val="0"/>
      <w:divBdr>
        <w:top w:val="none" w:sz="0" w:space="0" w:color="auto"/>
        <w:left w:val="none" w:sz="0" w:space="0" w:color="auto"/>
        <w:bottom w:val="none" w:sz="0" w:space="0" w:color="auto"/>
        <w:right w:val="none" w:sz="0" w:space="0" w:color="auto"/>
      </w:divBdr>
    </w:div>
    <w:div w:id="1313755555">
      <w:bodyDiv w:val="1"/>
      <w:marLeft w:val="0"/>
      <w:marRight w:val="0"/>
      <w:marTop w:val="0"/>
      <w:marBottom w:val="0"/>
      <w:divBdr>
        <w:top w:val="none" w:sz="0" w:space="0" w:color="auto"/>
        <w:left w:val="none" w:sz="0" w:space="0" w:color="auto"/>
        <w:bottom w:val="none" w:sz="0" w:space="0" w:color="auto"/>
        <w:right w:val="none" w:sz="0" w:space="0" w:color="auto"/>
      </w:divBdr>
    </w:div>
    <w:div w:id="1379548414">
      <w:bodyDiv w:val="1"/>
      <w:marLeft w:val="0"/>
      <w:marRight w:val="0"/>
      <w:marTop w:val="0"/>
      <w:marBottom w:val="0"/>
      <w:divBdr>
        <w:top w:val="none" w:sz="0" w:space="0" w:color="auto"/>
        <w:left w:val="none" w:sz="0" w:space="0" w:color="auto"/>
        <w:bottom w:val="none" w:sz="0" w:space="0" w:color="auto"/>
        <w:right w:val="none" w:sz="0" w:space="0" w:color="auto"/>
      </w:divBdr>
    </w:div>
    <w:div w:id="1708261929">
      <w:bodyDiv w:val="1"/>
      <w:marLeft w:val="0"/>
      <w:marRight w:val="0"/>
      <w:marTop w:val="0"/>
      <w:marBottom w:val="0"/>
      <w:divBdr>
        <w:top w:val="none" w:sz="0" w:space="0" w:color="auto"/>
        <w:left w:val="none" w:sz="0" w:space="0" w:color="auto"/>
        <w:bottom w:val="none" w:sz="0" w:space="0" w:color="auto"/>
        <w:right w:val="none" w:sz="0" w:space="0" w:color="auto"/>
      </w:divBdr>
    </w:div>
    <w:div w:id="1856726264">
      <w:bodyDiv w:val="1"/>
      <w:marLeft w:val="0"/>
      <w:marRight w:val="0"/>
      <w:marTop w:val="0"/>
      <w:marBottom w:val="0"/>
      <w:divBdr>
        <w:top w:val="none" w:sz="0" w:space="0" w:color="auto"/>
        <w:left w:val="none" w:sz="0" w:space="0" w:color="auto"/>
        <w:bottom w:val="none" w:sz="0" w:space="0" w:color="auto"/>
        <w:right w:val="none" w:sz="0" w:space="0" w:color="auto"/>
      </w:divBdr>
    </w:div>
    <w:div w:id="2051949610">
      <w:bodyDiv w:val="1"/>
      <w:marLeft w:val="0"/>
      <w:marRight w:val="0"/>
      <w:marTop w:val="0"/>
      <w:marBottom w:val="0"/>
      <w:divBdr>
        <w:top w:val="none" w:sz="0" w:space="0" w:color="auto"/>
        <w:left w:val="none" w:sz="0" w:space="0" w:color="auto"/>
        <w:bottom w:val="none" w:sz="0" w:space="0" w:color="auto"/>
        <w:right w:val="none" w:sz="0" w:space="0" w:color="auto"/>
      </w:divBdr>
    </w:div>
    <w:div w:id="21359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vk.com/away.php?to=http%3A%2F%2Fwww.cnap.if.ua&amp;post=-63356957_153"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www.facebook.com/galka.if.ua/?__tn__=K-R&amp;eid=ARAQF7dVZ2a823RY0MPaNYH68dy5KvXEPrpeepw-we4fsN5DRehACJXY1c8NGFyu_4Q20bHbUCcv5LpL&amp;fref=mentions&amp;__xts__%5B0%5D=68.ARBtES23BcrENX7qVBF0BfLN-Oq8qk02OuTvjq3MTcqNt4BorNAVLamHBaEPJgKrhN3pH_YAsQFUNou-TyvtjWmk2lB5vsfOkOT9MtiDzGl5inYdlKoxwAYz1OaltJmexudjmDyvfynAD-YIL6EMkH6qCBD0YG-Obio68k8b2yoSWUkHbtnFo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yperlink" Target="http://pleddg.org.ua/ua/2017/mista-partneri-promis-otrimayut-fin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invest-if.com/"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76;&#1086;&#1082;&#1091;&#1084;&#1077;&#1085;&#1090;&#1080;\programa\&#1079;&#1072;%202018\&#1075;&#1088;&#1072;&#1092;%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c-01\obmin\PelikanN\&#1092;&#1086;&#1090;&#1086;\&#1044;&#1110;&#1072;&#1075;&#1088;&#1072;&#1084;&#1072;%20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F:\&#1076;&#1086;&#1082;&#1091;&#1084;&#1077;&#1085;&#1090;&#1080;\programa\&#1079;&#1072;%202018\&#1075;&#1088;&#1072;&#1092;%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76;&#1086;&#1082;&#1091;&#1084;&#1077;&#1085;&#1090;&#1080;\programa\&#1079;&#1072;%202018\&#1075;&#1088;&#1072;&#1092;%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44;&#1110;&#1072;&#1075;&#1088;&#1072;&#1084;&#1072;%20&#1091;%20&#1087;&#1088;&#1086;&#1075;&#1088;&#1072;&#1084;&#1110;%20Microsoft%20Word"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F:\&#1076;&#1086;&#1082;&#1091;&#1084;&#1077;&#1085;&#1090;&#1080;\programa\&#1079;&#1072;%202018\&#1075;&#1088;&#1072;&#1092;%20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76;&#1086;&#1082;&#1091;&#1084;&#1077;&#1085;&#1090;&#1080;\programa\&#1079;&#1072;%202018\&#1075;&#1088;&#1072;&#1092;%202018.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Доходи міського бюджету за 2015-2018 роки, млн.грн.</a:t>
            </a:r>
          </a:p>
        </c:rich>
      </c:tx>
      <c:overlay val="0"/>
    </c:title>
    <c:autoTitleDeleted val="0"/>
    <c:view3D>
      <c:rotX val="15"/>
      <c:rotY val="20"/>
      <c:rAngAx val="1"/>
    </c:view3D>
    <c:floor>
      <c:thickness val="0"/>
    </c:floor>
    <c:sideWall>
      <c:thickness val="0"/>
      <c:spPr>
        <a:noFill/>
      </c:spPr>
    </c:sideWall>
    <c:backWall>
      <c:thickness val="0"/>
      <c:spPr>
        <a:noFill/>
        <a:ln w="25400">
          <a:noFill/>
        </a:ln>
      </c:spPr>
    </c:backWall>
    <c:plotArea>
      <c:layout/>
      <c:bar3DChart>
        <c:barDir val="col"/>
        <c:grouping val="clustered"/>
        <c:varyColors val="0"/>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dLbl>
              <c:idx val="0"/>
              <c:layout>
                <c:manualLayout>
                  <c:x val="2.1698622286572522E-17"/>
                  <c:y val="-3.55072433378486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397244573145044E-17"/>
                  <c:y val="-3.55072433378486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95893694482071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6794489146290088E-17"/>
                  <c:y val="-4.14251172274900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Лист1!$S$23:$S$26</c:f>
              <c:strCache>
                <c:ptCount val="4"/>
                <c:pt idx="0">
                  <c:v>2015р.</c:v>
                </c:pt>
                <c:pt idx="1">
                  <c:v>2016р.</c:v>
                </c:pt>
                <c:pt idx="2">
                  <c:v>2017р</c:v>
                </c:pt>
                <c:pt idx="3">
                  <c:v>2018р.</c:v>
                </c:pt>
              </c:strCache>
            </c:strRef>
          </c:cat>
          <c:val>
            <c:numRef>
              <c:f>Лист1!$T$23:$T$26</c:f>
              <c:numCache>
                <c:formatCode>General</c:formatCode>
                <c:ptCount val="4"/>
                <c:pt idx="0">
                  <c:v>1406.1</c:v>
                </c:pt>
                <c:pt idx="1">
                  <c:v>1875.3</c:v>
                </c:pt>
                <c:pt idx="2">
                  <c:v>2547.4</c:v>
                </c:pt>
                <c:pt idx="3">
                  <c:v>2802.2</c:v>
                </c:pt>
              </c:numCache>
            </c:numRef>
          </c:val>
        </c:ser>
        <c:dLbls>
          <c:showLegendKey val="0"/>
          <c:showVal val="1"/>
          <c:showCatName val="0"/>
          <c:showSerName val="0"/>
          <c:showPercent val="0"/>
          <c:showBubbleSize val="0"/>
        </c:dLbls>
        <c:gapWidth val="150"/>
        <c:shape val="box"/>
        <c:axId val="527417136"/>
        <c:axId val="527415176"/>
        <c:axId val="0"/>
      </c:bar3DChart>
      <c:catAx>
        <c:axId val="527417136"/>
        <c:scaling>
          <c:orientation val="minMax"/>
        </c:scaling>
        <c:delete val="0"/>
        <c:axPos val="b"/>
        <c:numFmt formatCode="General" sourceLinked="0"/>
        <c:majorTickMark val="out"/>
        <c:minorTickMark val="none"/>
        <c:tickLblPos val="nextTo"/>
        <c:crossAx val="527415176"/>
        <c:crosses val="autoZero"/>
        <c:auto val="1"/>
        <c:lblAlgn val="ctr"/>
        <c:lblOffset val="100"/>
        <c:noMultiLvlLbl val="0"/>
      </c:catAx>
      <c:valAx>
        <c:axId val="527415176"/>
        <c:scaling>
          <c:orientation val="minMax"/>
        </c:scaling>
        <c:delete val="1"/>
        <c:axPos val="l"/>
        <c:majorGridlines>
          <c:spPr>
            <a:ln>
              <a:noFill/>
            </a:ln>
          </c:spPr>
        </c:majorGridlines>
        <c:numFmt formatCode="General" sourceLinked="1"/>
        <c:majorTickMark val="out"/>
        <c:minorTickMark val="none"/>
        <c:tickLblPos val="nextTo"/>
        <c:crossAx val="527417136"/>
        <c:crosses val="autoZero"/>
        <c:crossBetween val="between"/>
      </c:valAx>
      <c:spPr>
        <a:ln w="25400">
          <a:noFill/>
        </a:ln>
      </c:spPr>
    </c:plotArea>
    <c:plotVisOnly val="1"/>
    <c:dispBlanksAs val="gap"/>
    <c:showDLblsOverMax val="0"/>
  </c:chart>
  <c:txPr>
    <a:bodyPr/>
    <a:lstStyle/>
    <a:p>
      <a:pPr>
        <a:defRPr sz="800">
          <a:latin typeface="Arial" pitchFamily="34" charset="0"/>
          <a:cs typeface="Arial" pitchFamily="34" charset="0"/>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800"/>
            </a:pPr>
            <a:r>
              <a:rPr lang="uk-UA" sz="800"/>
              <a:t>Надання пільг на оплату за житлово-комунальні послуги учасникам АТО</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25179919158551E-2"/>
          <c:y val="0.12523714982308659"/>
          <c:w val="0.8081020848003756"/>
          <c:h val="0.73952876502127085"/>
        </c:manualLayout>
      </c:layout>
      <c:bar3DChart>
        <c:barDir val="col"/>
        <c:grouping val="clustered"/>
        <c:varyColors val="0"/>
        <c:ser>
          <c:idx val="0"/>
          <c:order val="0"/>
          <c:tx>
            <c:strRef>
              <c:f>Лист1!$B$18:$B$19</c:f>
              <c:strCache>
                <c:ptCount val="2"/>
                <c:pt idx="0">
                  <c:v>Кількість</c:v>
                </c:pt>
                <c:pt idx="1">
                  <c:v>станом на 01.10.2018р.</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extLst xmlns:c16r2="http://schemas.microsoft.com/office/drawing/2015/06/chart">
              <c:ext xmlns:c16="http://schemas.microsoft.com/office/drawing/2014/chart" uri="{C3380CC4-5D6E-409C-BE32-E72D297353CC}">
                <c16:uniqueId val="{00000000-5052-416C-989E-4D7C84FB4034}"/>
              </c:ext>
            </c:extLst>
          </c:dPt>
          <c:dPt>
            <c:idx val="1"/>
            <c:invertIfNegative val="0"/>
            <c:bubble3D val="0"/>
            <c:extLst xmlns:c16r2="http://schemas.microsoft.com/office/drawing/2015/06/chart">
              <c:ext xmlns:c16="http://schemas.microsoft.com/office/drawing/2014/chart" uri="{C3380CC4-5D6E-409C-BE32-E72D297353CC}">
                <c16:uniqueId val="{00000001-5052-416C-989E-4D7C84FB4034}"/>
              </c:ext>
            </c:extLst>
          </c:dPt>
          <c:dPt>
            <c:idx val="2"/>
            <c:invertIfNegative val="0"/>
            <c:bubble3D val="0"/>
            <c:explosion val="25"/>
            <c:extLst xmlns:c16r2="http://schemas.microsoft.com/office/drawing/2015/06/chart">
              <c:ext xmlns:c16="http://schemas.microsoft.com/office/drawing/2014/chart" uri="{C3380CC4-5D6E-409C-BE32-E72D297353CC}">
                <c16:uniqueId val="{00000002-5052-416C-989E-4D7C84FB4034}"/>
              </c:ext>
            </c:extLst>
          </c:dPt>
          <c:dLbls>
            <c:dLbl>
              <c:idx val="0"/>
              <c:layout>
                <c:manualLayout>
                  <c:x val="2.1680216802168022E-3"/>
                  <c:y val="-3.09278350515465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09278350515463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344173441734417E-2"/>
                  <c:y val="-1.03092783505154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Лист1!$A$20:$A$22</c:f>
              <c:strCache>
                <c:ptCount val="3"/>
                <c:pt idx="0">
                  <c:v>Учасники АТО та члени їх сімей</c:v>
                </c:pt>
                <c:pt idx="1">
                  <c:v>Члени сімей загиблих в АТО</c:v>
                </c:pt>
                <c:pt idx="2">
                  <c:v>Учасники бойових дій та члени їх сімей</c:v>
                </c:pt>
              </c:strCache>
            </c:strRef>
          </c:cat>
          <c:val>
            <c:numRef>
              <c:f>Лист1!$B$20:$B$22</c:f>
              <c:numCache>
                <c:formatCode>General</c:formatCode>
                <c:ptCount val="3"/>
                <c:pt idx="0">
                  <c:v>190</c:v>
                </c:pt>
                <c:pt idx="1">
                  <c:v>53</c:v>
                </c:pt>
                <c:pt idx="2">
                  <c:v>1706</c:v>
                </c:pt>
              </c:numCache>
            </c:numRef>
          </c:val>
          <c:extLst xmlns:c16r2="http://schemas.microsoft.com/office/drawing/2015/06/chart">
            <c:ext xmlns:c16="http://schemas.microsoft.com/office/drawing/2014/chart" uri="{C3380CC4-5D6E-409C-BE32-E72D297353CC}">
              <c16:uniqueId val="{00000003-5052-416C-989E-4D7C84FB4034}"/>
            </c:ext>
          </c:extLst>
        </c:ser>
        <c:ser>
          <c:idx val="1"/>
          <c:order val="1"/>
          <c:tx>
            <c:strRef>
              <c:f>Лист1!$C$18:$C$19</c:f>
              <c:strCache>
                <c:ptCount val="2"/>
                <c:pt idx="0">
                  <c:v>Сума пільг відшкодованих за 2018 рік.</c:v>
                </c:pt>
                <c:pt idx="1">
                  <c:v>/тис.грн./</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Pt>
            <c:idx val="0"/>
            <c:invertIfNegative val="0"/>
            <c:bubble3D val="0"/>
            <c:extLst xmlns:c16r2="http://schemas.microsoft.com/office/drawing/2015/06/chart">
              <c:ext xmlns:c16="http://schemas.microsoft.com/office/drawing/2014/chart" uri="{C3380CC4-5D6E-409C-BE32-E72D297353CC}">
                <c16:uniqueId val="{00000004-5052-416C-989E-4D7C84FB4034}"/>
              </c:ext>
            </c:extLst>
          </c:dPt>
          <c:dPt>
            <c:idx val="1"/>
            <c:invertIfNegative val="0"/>
            <c:bubble3D val="0"/>
            <c:extLst xmlns:c16r2="http://schemas.microsoft.com/office/drawing/2015/06/chart">
              <c:ext xmlns:c16="http://schemas.microsoft.com/office/drawing/2014/chart" uri="{C3380CC4-5D6E-409C-BE32-E72D297353CC}">
                <c16:uniqueId val="{00000005-5052-416C-989E-4D7C84FB4034}"/>
              </c:ext>
            </c:extLst>
          </c:dPt>
          <c:dPt>
            <c:idx val="2"/>
            <c:invertIfNegative val="0"/>
            <c:bubble3D val="0"/>
            <c:extLst xmlns:c16r2="http://schemas.microsoft.com/office/drawing/2015/06/chart">
              <c:ext xmlns:c16="http://schemas.microsoft.com/office/drawing/2014/chart" uri="{C3380CC4-5D6E-409C-BE32-E72D297353CC}">
                <c16:uniqueId val="{00000006-5052-416C-989E-4D7C84FB4034}"/>
              </c:ext>
            </c:extLst>
          </c:dPt>
          <c:dLbls>
            <c:dLbl>
              <c:idx val="0"/>
              <c:spPr>
                <a:noFill/>
                <a:ln>
                  <a:noFill/>
                </a:ln>
                <a:effectLst/>
              </c:spPr>
              <c:txPr>
                <a:bodyPr rot="0" vert="horz"/>
                <a:lstStyle/>
                <a:p>
                  <a:pPr>
                    <a:defRPr b="1"/>
                  </a:pPr>
                  <a:endParaRPr lang="uk-UA"/>
                </a:p>
              </c:txPr>
              <c:showLegendKey val="0"/>
              <c:showVal val="1"/>
              <c:showCatName val="0"/>
              <c:showSerName val="0"/>
              <c:showPercent val="0"/>
              <c:showBubbleSize val="0"/>
            </c:dLbl>
            <c:dLbl>
              <c:idx val="1"/>
              <c:layout>
                <c:manualLayout>
                  <c:x val="0"/>
                  <c:y val="-1.0471204188481803E-2"/>
                </c:manualLayout>
              </c:layout>
              <c:spPr>
                <a:noFill/>
                <a:ln>
                  <a:noFill/>
                </a:ln>
                <a:effectLst/>
              </c:spPr>
              <c:txPr>
                <a:bodyPr rot="0" vert="horz"/>
                <a:lstStyle/>
                <a:p>
                  <a:pPr>
                    <a:defRPr b="1"/>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9813376399424282E-2"/>
                  <c:y val="-2.5436214352268473E-2"/>
                </c:manualLayout>
              </c:layout>
              <c:spPr>
                <a:noFill/>
                <a:ln>
                  <a:noFill/>
                </a:ln>
                <a:effectLst/>
              </c:spPr>
              <c:txPr>
                <a:bodyPr rot="0" vert="horz"/>
                <a:lstStyle/>
                <a:p>
                  <a:pPr>
                    <a:defRPr b="1"/>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Лист1!$A$20:$A$22</c:f>
              <c:strCache>
                <c:ptCount val="3"/>
                <c:pt idx="0">
                  <c:v>Учасники АТО та члени їх сімей</c:v>
                </c:pt>
                <c:pt idx="1">
                  <c:v>Члени сімей загиблих в АТО</c:v>
                </c:pt>
                <c:pt idx="2">
                  <c:v>Учасники бойових дій та члени їх сімей</c:v>
                </c:pt>
              </c:strCache>
            </c:strRef>
          </c:cat>
          <c:val>
            <c:numRef>
              <c:f>Лист1!$C$20:$C$22</c:f>
              <c:numCache>
                <c:formatCode>General</c:formatCode>
                <c:ptCount val="3"/>
                <c:pt idx="0">
                  <c:v>1455.85</c:v>
                </c:pt>
                <c:pt idx="1">
                  <c:v>137.75</c:v>
                </c:pt>
                <c:pt idx="2">
                  <c:v>3105.48</c:v>
                </c:pt>
              </c:numCache>
            </c:numRef>
          </c:val>
          <c:extLst xmlns:c16r2="http://schemas.microsoft.com/office/drawing/2015/06/chart">
            <c:ext xmlns:c16="http://schemas.microsoft.com/office/drawing/2014/chart" uri="{C3380CC4-5D6E-409C-BE32-E72D297353CC}">
              <c16:uniqueId val="{00000007-5052-416C-989E-4D7C84FB4034}"/>
            </c:ext>
          </c:extLst>
        </c:ser>
        <c:dLbls>
          <c:showLegendKey val="0"/>
          <c:showVal val="0"/>
          <c:showCatName val="0"/>
          <c:showSerName val="0"/>
          <c:showPercent val="0"/>
          <c:showBubbleSize val="0"/>
        </c:dLbls>
        <c:gapWidth val="65"/>
        <c:shape val="box"/>
        <c:axId val="535909624"/>
        <c:axId val="535919032"/>
        <c:axId val="0"/>
      </c:bar3DChart>
      <c:catAx>
        <c:axId val="535909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sz="700"/>
            </a:pPr>
            <a:endParaRPr lang="uk-UA"/>
          </a:p>
        </c:txPr>
        <c:crossAx val="535919032"/>
        <c:crosses val="autoZero"/>
        <c:auto val="1"/>
        <c:lblAlgn val="ctr"/>
        <c:lblOffset val="100"/>
        <c:noMultiLvlLbl val="0"/>
      </c:catAx>
      <c:valAx>
        <c:axId val="5359190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uk-UA"/>
          </a:p>
        </c:txPr>
        <c:crossAx val="535909624"/>
        <c:crosses val="autoZero"/>
        <c:crossBetween val="between"/>
      </c:valAx>
      <c:spPr>
        <a:noFill/>
        <a:ln>
          <a:noFill/>
        </a:ln>
        <a:effectLst/>
      </c:spPr>
    </c:plotArea>
    <c:legend>
      <c:legendPos val="b"/>
      <c:layout>
        <c:manualLayout>
          <c:xMode val="edge"/>
          <c:yMode val="edge"/>
          <c:x val="0.83622149670315604"/>
          <c:y val="0.22723327109884456"/>
          <c:w val="0.16007733179694"/>
          <c:h val="0.60438184917606941"/>
        </c:manualLayout>
      </c:layout>
      <c:overlay val="0"/>
      <c:spPr>
        <a:solidFill>
          <a:schemeClr val="lt1">
            <a:lumMod val="95000"/>
            <a:alpha val="39000"/>
          </a:schemeClr>
        </a:solidFill>
        <a:ln>
          <a:noFill/>
        </a:ln>
        <a:effectLst/>
      </c:spPr>
      <c:txPr>
        <a:bodyPr rot="0" vert="horz"/>
        <a:lstStyle/>
        <a:p>
          <a:pPr>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latin typeface="Arial" pitchFamily="34" charset="0"/>
          <a:cs typeface="Arial" pitchFamily="34"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700" b="1"/>
            </a:pPr>
            <a:r>
              <a:rPr lang="uk-UA" sz="700" b="1"/>
              <a:t>Структура податків і зборів у власних надходженнях міського бюджету  </a:t>
            </a:r>
          </a:p>
        </c:rich>
      </c:tx>
      <c:overlay val="0"/>
    </c:title>
    <c:autoTitleDeleted val="0"/>
    <c:plotArea>
      <c:layout>
        <c:manualLayout>
          <c:layoutTarget val="inner"/>
          <c:xMode val="edge"/>
          <c:yMode val="edge"/>
          <c:x val="0.55990057802122317"/>
          <c:y val="0.26582177080849312"/>
          <c:w val="0.4091813865732537"/>
          <c:h val="0.55331525929150061"/>
        </c:manualLayout>
      </c:layout>
      <c:doughnut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0"/>
              <c:spPr/>
              <c:txPr>
                <a:bodyPr/>
                <a:lstStyle/>
                <a:p>
                  <a:pPr>
                    <a:defRPr b="1">
                      <a:solidFill>
                        <a:schemeClr val="bg1"/>
                      </a:solidFill>
                    </a:defRPr>
                  </a:pPr>
                  <a:endParaRPr lang="uk-UA"/>
                </a:p>
              </c:txPr>
              <c:showLegendKey val="0"/>
              <c:showVal val="1"/>
              <c:showCatName val="0"/>
              <c:showSerName val="0"/>
              <c:showPercent val="0"/>
              <c:showBubbleSize val="0"/>
            </c:dLbl>
            <c:dLbl>
              <c:idx val="5"/>
              <c:layout>
                <c:manualLayout>
                  <c:x val="-0.10043290110088501"/>
                  <c:y val="-3.448648707361544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0634569286164521E-2"/>
                  <c:y val="-5.329729820467844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1239573842003056E-2"/>
                  <c:y val="-6.58378389587203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193327258881958E-2"/>
                  <c:y val="-0.1003243260323358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4697497722080734E-2"/>
                  <c:y val="-0.1128648667863778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348748861040367E-3"/>
                  <c:y val="-0.11600000197488829"/>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642910212562168E-2"/>
                  <c:y val="-0.119135137163398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Лист1!$S$5:$S$16</c:f>
              <c:strCache>
                <c:ptCount val="12"/>
                <c:pt idx="0">
                  <c:v>ПДФО, 58%</c:v>
                </c:pt>
                <c:pt idx="1">
                  <c:v>податок на нерухоме майно, відмінне від земельної діялнки, 2%</c:v>
                </c:pt>
                <c:pt idx="2">
                  <c:v>акцизний податок, 7%</c:v>
                </c:pt>
                <c:pt idx="3">
                  <c:v>плата за землю, 6%</c:v>
                </c:pt>
                <c:pt idx="4">
                  <c:v>єдиний податок, 13%</c:v>
                </c:pt>
                <c:pt idx="5">
                  <c:v>надходження від орендної плати майна, 1%</c:v>
                </c:pt>
                <c:pt idx="6">
                  <c:v>власні надходження бюджетних установ, 5%</c:v>
                </c:pt>
                <c:pt idx="7">
                  <c:v>надходження від відчуження майна, 2%</c:v>
                </c:pt>
                <c:pt idx="8">
                  <c:v>надходження від продажу землі, 1%</c:v>
                </c:pt>
                <c:pt idx="9">
                  <c:v>надходження коштів пайової участі у розвитку інфраструктури, 1%</c:v>
                </c:pt>
                <c:pt idx="10">
                  <c:v>плата за надання ін.адміністративних послуг, 3%</c:v>
                </c:pt>
                <c:pt idx="11">
                  <c:v>інші, 1%</c:v>
                </c:pt>
              </c:strCache>
            </c:strRef>
          </c:cat>
          <c:val>
            <c:numRef>
              <c:f>Лист1!$T$5:$T$16</c:f>
              <c:numCache>
                <c:formatCode>0%</c:formatCode>
                <c:ptCount val="12"/>
                <c:pt idx="0">
                  <c:v>0.58138637874165333</c:v>
                </c:pt>
                <c:pt idx="1">
                  <c:v>1.9607750569671539E-2</c:v>
                </c:pt>
                <c:pt idx="2">
                  <c:v>6.9904908649042391E-2</c:v>
                </c:pt>
                <c:pt idx="3">
                  <c:v>5.6417737949432528E-2</c:v>
                </c:pt>
                <c:pt idx="4">
                  <c:v>0.13314148001170281</c:v>
                </c:pt>
                <c:pt idx="5">
                  <c:v>9.3051136402059302E-3</c:v>
                </c:pt>
                <c:pt idx="6">
                  <c:v>4.6230572825643572E-2</c:v>
                </c:pt>
                <c:pt idx="7">
                  <c:v>1.6002797352339948E-2</c:v>
                </c:pt>
                <c:pt idx="8">
                  <c:v>1.0472782402249926E-2</c:v>
                </c:pt>
                <c:pt idx="9">
                  <c:v>1.4481950736027496E-2</c:v>
                </c:pt>
                <c:pt idx="10">
                  <c:v>2.9411944837395915E-2</c:v>
                </c:pt>
                <c:pt idx="11">
                  <c:v>0.01</c:v>
                </c:pt>
              </c:numCache>
            </c:numRef>
          </c:val>
        </c:ser>
        <c:dLbls>
          <c:showLegendKey val="0"/>
          <c:showVal val="0"/>
          <c:showCatName val="0"/>
          <c:showSerName val="0"/>
          <c:showPercent val="0"/>
          <c:showBubbleSize val="0"/>
          <c:showLeaderLines val="0"/>
        </c:dLbls>
        <c:firstSliceAng val="0"/>
        <c:holeSize val="50"/>
      </c:doughnutChart>
    </c:plotArea>
    <c:legend>
      <c:legendPos val="r"/>
      <c:layout>
        <c:manualLayout>
          <c:xMode val="edge"/>
          <c:yMode val="edge"/>
          <c:x val="1.7945381596246864E-2"/>
          <c:y val="0.15181089574433018"/>
          <c:w val="0.50048810452798698"/>
          <c:h val="0.84818916159443614"/>
        </c:manualLayout>
      </c:layout>
      <c:overlay val="0"/>
      <c:txPr>
        <a:bodyPr/>
        <a:lstStyle/>
        <a:p>
          <a:pPr>
            <a:defRPr sz="600"/>
          </a:pPr>
          <a:endParaRPr lang="uk-UA"/>
        </a:p>
      </c:txPr>
    </c:legend>
    <c:plotVisOnly val="1"/>
    <c:dispBlanksAs val="gap"/>
    <c:showDLblsOverMax val="0"/>
  </c:chart>
  <c:spPr>
    <a:noFill/>
    <a:ln>
      <a:solidFill>
        <a:schemeClr val="accent1"/>
      </a:solidFill>
    </a:ln>
  </c:spPr>
  <c:txPr>
    <a:bodyPr/>
    <a:lstStyle/>
    <a:p>
      <a:pPr>
        <a:defRPr sz="700" b="0">
          <a:latin typeface="Arial" pitchFamily="34" charset="0"/>
          <a:cs typeface="Arial" pitchFamily="34"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ru-RU" sz="700" b="1"/>
              <a:t>Обсяги реалізації промислової продукції та темпи росту/спаду за  2015-2018 роки</a:t>
            </a:r>
          </a:p>
        </c:rich>
      </c:tx>
      <c:overlay val="0"/>
    </c:title>
    <c:autoTitleDeleted val="0"/>
    <c:plotArea>
      <c:layout>
        <c:manualLayout>
          <c:layoutTarget val="inner"/>
          <c:xMode val="edge"/>
          <c:yMode val="edge"/>
          <c:x val="9.754542310118211E-2"/>
          <c:y val="0.24169216008119832"/>
          <c:w val="0.83914887496380486"/>
          <c:h val="0.63746318719223538"/>
        </c:manualLayout>
      </c:layout>
      <c:barChart>
        <c:barDir val="col"/>
        <c:grouping val="clustered"/>
        <c:varyColors val="0"/>
        <c:ser>
          <c:idx val="1"/>
          <c:order val="0"/>
          <c:spPr>
            <a:solidFill>
              <a:schemeClr val="accent3">
                <a:lumMod val="60000"/>
                <a:lumOff val="40000"/>
              </a:schemeClr>
            </a:solidFill>
            <a:ln w="12700">
              <a:solidFill>
                <a:srgbClr val="000000"/>
              </a:solidFill>
              <a:prstDash val="solid"/>
            </a:ln>
          </c:spPr>
          <c:invertIfNegative val="0"/>
          <c:dLbls>
            <c:dLbl>
              <c:idx val="0"/>
              <c:layout>
                <c:manualLayout>
                  <c:x val="-2.8749591959531442E-3"/>
                  <c:y val="-0.1277548834559121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4756221289967167E-2"/>
                  <c:y val="-3.902772221068677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5839472674819685E-3"/>
                  <c:y val="-7.754774408864625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5839472674819685E-3"/>
                  <c:y val="-2.781210276563746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5839472674818857E-3"/>
                  <c:y val="-7.7212231399935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5019671180391357E-3"/>
                  <c:y val="-1.6079287345727469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w="25400">
                <a:noFill/>
              </a:ln>
            </c:spPr>
            <c:txPr>
              <a:bodyPr/>
              <a:lstStyle/>
              <a:p>
                <a:pPr>
                  <a:defRPr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Лист1!$S$34:$V$34</c:f>
              <c:strCache>
                <c:ptCount val="4"/>
                <c:pt idx="0">
                  <c:v>2015р.</c:v>
                </c:pt>
                <c:pt idx="1">
                  <c:v>2016р.</c:v>
                </c:pt>
                <c:pt idx="2">
                  <c:v>2017р.</c:v>
                </c:pt>
                <c:pt idx="3">
                  <c:v>2018р.</c:v>
                </c:pt>
              </c:strCache>
            </c:strRef>
          </c:cat>
          <c:val>
            <c:numRef>
              <c:f>Лист1!$S$35:$V$35</c:f>
              <c:numCache>
                <c:formatCode>#,##0</c:formatCode>
                <c:ptCount val="4"/>
                <c:pt idx="0" formatCode="General">
                  <c:v>10177</c:v>
                </c:pt>
                <c:pt idx="1">
                  <c:v>10343</c:v>
                </c:pt>
                <c:pt idx="2">
                  <c:v>10919.1</c:v>
                </c:pt>
                <c:pt idx="3">
                  <c:v>13648.5</c:v>
                </c:pt>
              </c:numCache>
            </c:numRef>
          </c:val>
        </c:ser>
        <c:dLbls>
          <c:showLegendKey val="0"/>
          <c:showVal val="0"/>
          <c:showCatName val="0"/>
          <c:showSerName val="0"/>
          <c:showPercent val="0"/>
          <c:showBubbleSize val="0"/>
        </c:dLbls>
        <c:gapWidth val="150"/>
        <c:axId val="527403024"/>
        <c:axId val="413175760"/>
      </c:barChart>
      <c:lineChart>
        <c:grouping val="standard"/>
        <c:varyColors val="0"/>
        <c:ser>
          <c:idx val="0"/>
          <c:order val="1"/>
          <c:spPr>
            <a:ln w="25400">
              <a:solidFill>
                <a:srgbClr val="C00000"/>
              </a:solidFill>
              <a:prstDash val="lgDash"/>
            </a:ln>
          </c:spPr>
          <c:marker>
            <c:symbol val="diamond"/>
            <c:size val="7"/>
            <c:spPr>
              <a:solidFill>
                <a:srgbClr val="FF0000"/>
              </a:solidFill>
              <a:ln>
                <a:solidFill>
                  <a:srgbClr val="000080"/>
                </a:solidFill>
                <a:prstDash val="solid"/>
              </a:ln>
            </c:spPr>
          </c:marker>
          <c:dLbls>
            <c:spPr>
              <a:solidFill>
                <a:srgbClr val="FFFFFF"/>
              </a:solidFill>
              <a:ln w="3175">
                <a:solidFill>
                  <a:srgbClr val="000000"/>
                </a:solidFill>
                <a:prstDash val="solid"/>
              </a:ln>
            </c:spPr>
            <c:txPr>
              <a:bodyPr/>
              <a:lstStyle/>
              <a:p>
                <a:pPr>
                  <a:defRPr b="1"/>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Лист1!$S$34:$V$34</c:f>
              <c:strCache>
                <c:ptCount val="4"/>
                <c:pt idx="0">
                  <c:v>2015р.</c:v>
                </c:pt>
                <c:pt idx="1">
                  <c:v>2016р.</c:v>
                </c:pt>
                <c:pt idx="2">
                  <c:v>2017р.</c:v>
                </c:pt>
                <c:pt idx="3">
                  <c:v>2018р.</c:v>
                </c:pt>
              </c:strCache>
            </c:strRef>
          </c:cat>
          <c:val>
            <c:numRef>
              <c:f>Лист1!$S$36:$V$36</c:f>
              <c:numCache>
                <c:formatCode>0%</c:formatCode>
                <c:ptCount val="4"/>
                <c:pt idx="0" formatCode="0.0%">
                  <c:v>2.387</c:v>
                </c:pt>
                <c:pt idx="1">
                  <c:v>1.0163112901640956</c:v>
                </c:pt>
                <c:pt idx="2">
                  <c:v>1.0556995069128881</c:v>
                </c:pt>
                <c:pt idx="3">
                  <c:v>1.25</c:v>
                </c:pt>
              </c:numCache>
            </c:numRef>
          </c:val>
          <c:smooth val="0"/>
        </c:ser>
        <c:dLbls>
          <c:showLegendKey val="0"/>
          <c:showVal val="0"/>
          <c:showCatName val="0"/>
          <c:showSerName val="0"/>
          <c:showPercent val="0"/>
          <c:showBubbleSize val="0"/>
        </c:dLbls>
        <c:marker val="1"/>
        <c:smooth val="0"/>
        <c:axId val="413182032"/>
        <c:axId val="413185952"/>
      </c:lineChart>
      <c:catAx>
        <c:axId val="52740302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a:pPr>
            <a:endParaRPr lang="uk-UA"/>
          </a:p>
        </c:txPr>
        <c:crossAx val="413175760"/>
        <c:crosses val="autoZero"/>
        <c:auto val="0"/>
        <c:lblAlgn val="ctr"/>
        <c:lblOffset val="100"/>
        <c:tickLblSkip val="1"/>
        <c:tickMarkSkip val="1"/>
        <c:noMultiLvlLbl val="0"/>
      </c:catAx>
      <c:valAx>
        <c:axId val="413175760"/>
        <c:scaling>
          <c:orientation val="minMax"/>
        </c:scaling>
        <c:delete val="0"/>
        <c:axPos val="l"/>
        <c:title>
          <c:tx>
            <c:rich>
              <a:bodyPr/>
              <a:lstStyle/>
              <a:p>
                <a:pPr>
                  <a:defRPr b="1"/>
                </a:pPr>
                <a:r>
                  <a:rPr lang="uk-UA" b="1"/>
                  <a:t>млн.грн.</a:t>
                </a:r>
              </a:p>
            </c:rich>
          </c:tx>
          <c:layout>
            <c:manualLayout>
              <c:xMode val="edge"/>
              <c:yMode val="edge"/>
              <c:x val="1.5503834516440962E-2"/>
              <c:y val="0.6525686101926080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500"/>
            </a:pPr>
            <a:endParaRPr lang="uk-UA"/>
          </a:p>
        </c:txPr>
        <c:crossAx val="527403024"/>
        <c:crosses val="autoZero"/>
        <c:crossBetween val="between"/>
      </c:valAx>
      <c:catAx>
        <c:axId val="413182032"/>
        <c:scaling>
          <c:orientation val="minMax"/>
        </c:scaling>
        <c:delete val="1"/>
        <c:axPos val="b"/>
        <c:numFmt formatCode="General" sourceLinked="1"/>
        <c:majorTickMark val="out"/>
        <c:minorTickMark val="none"/>
        <c:tickLblPos val="nextTo"/>
        <c:crossAx val="413185952"/>
        <c:crosses val="autoZero"/>
        <c:auto val="0"/>
        <c:lblAlgn val="ctr"/>
        <c:lblOffset val="100"/>
        <c:noMultiLvlLbl val="0"/>
      </c:catAx>
      <c:valAx>
        <c:axId val="413185952"/>
        <c:scaling>
          <c:orientation val="minMax"/>
        </c:scaling>
        <c:delete val="0"/>
        <c:axPos val="r"/>
        <c:numFmt formatCode="0.0%" sourceLinked="1"/>
        <c:majorTickMark val="cross"/>
        <c:minorTickMark val="none"/>
        <c:tickLblPos val="none"/>
        <c:spPr>
          <a:ln w="9525">
            <a:noFill/>
          </a:ln>
        </c:spPr>
        <c:crossAx val="413182032"/>
        <c:crosses val="max"/>
        <c:crossBetween val="between"/>
      </c:valAx>
      <c:spPr>
        <a:noFill/>
        <a:ln w="25400">
          <a:noFill/>
        </a:ln>
      </c:spPr>
    </c:plotArea>
    <c:plotVisOnly val="1"/>
    <c:dispBlanksAs val="gap"/>
    <c:showDLblsOverMax val="0"/>
  </c:chart>
  <c:spPr>
    <a:solidFill>
      <a:srgbClr val="FFFFFF"/>
    </a:solidFill>
    <a:ln w="9525">
      <a:noFill/>
    </a:ln>
  </c:spPr>
  <c:txPr>
    <a:bodyPr/>
    <a:lstStyle/>
    <a:p>
      <a:pPr>
        <a:defRPr sz="700" b="0" i="0" u="none" strike="noStrike" baseline="0">
          <a:solidFill>
            <a:srgbClr val="000000"/>
          </a:solidFill>
          <a:latin typeface="Arial"/>
          <a:ea typeface="Arial"/>
          <a:cs typeface="Arial"/>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uk-UA"/>
              <a:t>Структура обсягів реалізації промислової продукції за 2016-2018 роки</a:t>
            </a:r>
          </a:p>
        </c:rich>
      </c:tx>
      <c:overlay val="0"/>
    </c:title>
    <c:autoTitleDeleted val="0"/>
    <c:plotArea>
      <c:layout>
        <c:manualLayout>
          <c:layoutTarget val="inner"/>
          <c:xMode val="edge"/>
          <c:yMode val="edge"/>
          <c:x val="0.34797013254229647"/>
          <c:y val="0.11294004077486655"/>
          <c:w val="0.61799943289637271"/>
          <c:h val="0.79654068045461979"/>
        </c:manualLayout>
      </c:layout>
      <c:barChart>
        <c:barDir val="bar"/>
        <c:grouping val="clustered"/>
        <c:varyColors val="0"/>
        <c:ser>
          <c:idx val="0"/>
          <c:order val="0"/>
          <c:tx>
            <c:strRef>
              <c:f>Лист1!$B$3</c:f>
              <c:strCache>
                <c:ptCount val="1"/>
                <c:pt idx="0">
                  <c:v>2016р.</c:v>
                </c:pt>
              </c:strCache>
            </c:strRef>
          </c:tx>
          <c:invertIfNegative val="0"/>
          <c:dLbls>
            <c:dLbl>
              <c:idx val="7"/>
              <c:layout>
                <c:manualLayout>
                  <c:x val="2.0313942751615747E-2"/>
                  <c:y val="1.084010840108401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Лист1!$A$4:$A$11</c:f>
              <c:strCache>
                <c:ptCount val="8"/>
                <c:pt idx="0">
                  <c:v>Хiмiчна промисловiсть</c:v>
                </c:pt>
                <c:pt idx="1">
                  <c:v>Легка промисловiсть</c:v>
                </c:pt>
                <c:pt idx="2">
                  <c:v>Виготовлення виробів з деревини та поліграфічна д-ть</c:v>
                </c:pt>
                <c:pt idx="3">
                  <c:v>В-во гумових і пластмасових виробів</c:v>
                </c:pt>
                <c:pt idx="4">
                  <c:v>Інші</c:v>
                </c:pt>
                <c:pt idx="5">
                  <c:v>Машинобудування, в-во готових металевих виробв</c:v>
                </c:pt>
                <c:pt idx="6">
                  <c:v>В-во та постачання електроенергiї, газу та води</c:v>
                </c:pt>
                <c:pt idx="7">
                  <c:v>Харчова промисловість</c:v>
                </c:pt>
              </c:strCache>
            </c:strRef>
          </c:cat>
          <c:val>
            <c:numRef>
              <c:f>Лист1!$B$4:$B$11</c:f>
              <c:numCache>
                <c:formatCode>0.0%</c:formatCode>
                <c:ptCount val="8"/>
                <c:pt idx="0">
                  <c:v>1E-3</c:v>
                </c:pt>
                <c:pt idx="1">
                  <c:v>2E-3</c:v>
                </c:pt>
                <c:pt idx="2">
                  <c:v>1.9E-2</c:v>
                </c:pt>
                <c:pt idx="3">
                  <c:v>3.3000000000000002E-2</c:v>
                </c:pt>
                <c:pt idx="4">
                  <c:v>0.06</c:v>
                </c:pt>
                <c:pt idx="5">
                  <c:v>0.17399999999999999</c:v>
                </c:pt>
                <c:pt idx="6">
                  <c:v>0.54500000000000004</c:v>
                </c:pt>
                <c:pt idx="7">
                  <c:v>0.16600000000000001</c:v>
                </c:pt>
              </c:numCache>
            </c:numRef>
          </c:val>
        </c:ser>
        <c:ser>
          <c:idx val="1"/>
          <c:order val="1"/>
          <c:tx>
            <c:strRef>
              <c:f>Лист1!$C$3</c:f>
              <c:strCache>
                <c:ptCount val="1"/>
                <c:pt idx="0">
                  <c:v>2017р.</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Лист1!$A$4:$A$11</c:f>
              <c:strCache>
                <c:ptCount val="8"/>
                <c:pt idx="0">
                  <c:v>Хiмiчна промисловiсть</c:v>
                </c:pt>
                <c:pt idx="1">
                  <c:v>Легка промисловiсть</c:v>
                </c:pt>
                <c:pt idx="2">
                  <c:v>Виготовлення виробів з деревини та поліграфічна д-ть</c:v>
                </c:pt>
                <c:pt idx="3">
                  <c:v>В-во гумових і пластмасових виробів</c:v>
                </c:pt>
                <c:pt idx="4">
                  <c:v>Інші</c:v>
                </c:pt>
                <c:pt idx="5">
                  <c:v>Машинобудування, в-во готових металевих виробв</c:v>
                </c:pt>
                <c:pt idx="6">
                  <c:v>В-во та постачання електроенергiї, газу та води</c:v>
                </c:pt>
                <c:pt idx="7">
                  <c:v>Харчова промисловість</c:v>
                </c:pt>
              </c:strCache>
            </c:strRef>
          </c:cat>
          <c:val>
            <c:numRef>
              <c:f>Лист1!$C$4:$C$11</c:f>
              <c:numCache>
                <c:formatCode>0.0%</c:formatCode>
                <c:ptCount val="8"/>
                <c:pt idx="0">
                  <c:v>2E-3</c:v>
                </c:pt>
                <c:pt idx="1">
                  <c:v>4.0000000000000001E-3</c:v>
                </c:pt>
                <c:pt idx="2">
                  <c:v>1.9E-2</c:v>
                </c:pt>
                <c:pt idx="3">
                  <c:v>2.9000000000000001E-2</c:v>
                </c:pt>
                <c:pt idx="4">
                  <c:v>2.3E-2</c:v>
                </c:pt>
                <c:pt idx="5">
                  <c:v>0.21099999999999999</c:v>
                </c:pt>
                <c:pt idx="6">
                  <c:v>0.625</c:v>
                </c:pt>
                <c:pt idx="7">
                  <c:v>8.6999999999999994E-2</c:v>
                </c:pt>
              </c:numCache>
            </c:numRef>
          </c:val>
        </c:ser>
        <c:ser>
          <c:idx val="2"/>
          <c:order val="2"/>
          <c:tx>
            <c:strRef>
              <c:f>Лист1!$D$3</c:f>
              <c:strCache>
                <c:ptCount val="1"/>
                <c:pt idx="0">
                  <c:v>2018р.</c:v>
                </c:pt>
              </c:strCache>
            </c:strRef>
          </c:tx>
          <c:invertIfNegative val="0"/>
          <c:dLbls>
            <c:spPr>
              <a:noFill/>
              <a:ln>
                <a:noFill/>
              </a:ln>
              <a:effectLst/>
            </c:spPr>
            <c:txPr>
              <a:bodyPr/>
              <a:lstStyle/>
              <a:p>
                <a:pPr>
                  <a:defRPr b="1"/>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Лист1!$A$4:$A$11</c:f>
              <c:strCache>
                <c:ptCount val="8"/>
                <c:pt idx="0">
                  <c:v>Хiмiчна промисловiсть</c:v>
                </c:pt>
                <c:pt idx="1">
                  <c:v>Легка промисловiсть</c:v>
                </c:pt>
                <c:pt idx="2">
                  <c:v>Виготовлення виробів з деревини та поліграфічна д-ть</c:v>
                </c:pt>
                <c:pt idx="3">
                  <c:v>В-во гумових і пластмасових виробів</c:v>
                </c:pt>
                <c:pt idx="4">
                  <c:v>Інші</c:v>
                </c:pt>
                <c:pt idx="5">
                  <c:v>Машинобудування, в-во готових металевих виробв</c:v>
                </c:pt>
                <c:pt idx="6">
                  <c:v>В-во та постачання електроенергiї, газу та води</c:v>
                </c:pt>
                <c:pt idx="7">
                  <c:v>Харчова промисловість</c:v>
                </c:pt>
              </c:strCache>
            </c:strRef>
          </c:cat>
          <c:val>
            <c:numRef>
              <c:f>Лист1!$D$4:$D$11</c:f>
              <c:numCache>
                <c:formatCode>0.0%</c:formatCode>
                <c:ptCount val="8"/>
                <c:pt idx="0">
                  <c:v>1E-3</c:v>
                </c:pt>
                <c:pt idx="1">
                  <c:v>3.0000000000000001E-3</c:v>
                </c:pt>
                <c:pt idx="2">
                  <c:v>0.02</c:v>
                </c:pt>
                <c:pt idx="3">
                  <c:v>3.1E-2</c:v>
                </c:pt>
                <c:pt idx="4">
                  <c:v>2.5000000000000001E-2</c:v>
                </c:pt>
                <c:pt idx="5">
                  <c:v>0.19700000000000001</c:v>
                </c:pt>
                <c:pt idx="6">
                  <c:v>0.54500000000000004</c:v>
                </c:pt>
                <c:pt idx="7">
                  <c:v>0.17799999999999999</c:v>
                </c:pt>
              </c:numCache>
            </c:numRef>
          </c:val>
        </c:ser>
        <c:dLbls>
          <c:showLegendKey val="0"/>
          <c:showVal val="0"/>
          <c:showCatName val="0"/>
          <c:showSerName val="0"/>
          <c:showPercent val="0"/>
          <c:showBubbleSize val="0"/>
        </c:dLbls>
        <c:gapWidth val="150"/>
        <c:axId val="393407160"/>
        <c:axId val="393400104"/>
      </c:barChart>
      <c:catAx>
        <c:axId val="393407160"/>
        <c:scaling>
          <c:orientation val="minMax"/>
        </c:scaling>
        <c:delete val="0"/>
        <c:axPos val="l"/>
        <c:numFmt formatCode="General" sourceLinked="1"/>
        <c:majorTickMark val="out"/>
        <c:minorTickMark val="none"/>
        <c:tickLblPos val="nextTo"/>
        <c:txPr>
          <a:bodyPr rot="0" vert="horz"/>
          <a:lstStyle/>
          <a:p>
            <a:pPr>
              <a:defRPr/>
            </a:pPr>
            <a:endParaRPr lang="uk-UA"/>
          </a:p>
        </c:txPr>
        <c:crossAx val="393400104"/>
        <c:crosses val="autoZero"/>
        <c:auto val="1"/>
        <c:lblAlgn val="ctr"/>
        <c:lblOffset val="100"/>
        <c:noMultiLvlLbl val="0"/>
      </c:catAx>
      <c:valAx>
        <c:axId val="393400104"/>
        <c:scaling>
          <c:orientation val="minMax"/>
        </c:scaling>
        <c:delete val="0"/>
        <c:axPos val="b"/>
        <c:numFmt formatCode="0%" sourceLinked="0"/>
        <c:majorTickMark val="out"/>
        <c:minorTickMark val="none"/>
        <c:tickLblPos val="nextTo"/>
        <c:txPr>
          <a:bodyPr rot="0" vert="horz"/>
          <a:lstStyle/>
          <a:p>
            <a:pPr>
              <a:defRPr/>
            </a:pPr>
            <a:endParaRPr lang="uk-UA"/>
          </a:p>
        </c:txPr>
        <c:crossAx val="393407160"/>
        <c:crosses val="autoZero"/>
        <c:crossBetween val="between"/>
      </c:valAx>
    </c:plotArea>
    <c:legend>
      <c:legendPos val="r"/>
      <c:layout>
        <c:manualLayout>
          <c:xMode val="edge"/>
          <c:yMode val="edge"/>
          <c:x val="0.72326349194675765"/>
          <c:y val="0.49580393484666202"/>
          <c:w val="0.12663082340781928"/>
          <c:h val="0.13867382032737161"/>
        </c:manualLayout>
      </c:layout>
      <c:overlay val="0"/>
      <c:txPr>
        <a:bodyPr/>
        <a:lstStyle/>
        <a:p>
          <a:pPr>
            <a:defRPr b="1"/>
          </a:pPr>
          <a:endParaRPr lang="uk-UA"/>
        </a:p>
      </c:txPr>
    </c:legend>
    <c:plotVisOnly val="1"/>
    <c:dispBlanksAs val="gap"/>
    <c:showDLblsOverMax val="0"/>
  </c:chart>
  <c:txPr>
    <a:bodyPr/>
    <a:lstStyle/>
    <a:p>
      <a:pPr>
        <a:defRPr sz="600">
          <a:latin typeface="Arial" pitchFamily="34" charset="0"/>
          <a:cs typeface="Arial" pitchFamily="34" charset="0"/>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ru-RU" sz="900" b="1"/>
              <a:t>Прямі інвестиції, вкладені в економіку міста, млн</a:t>
            </a:r>
            <a:r>
              <a:rPr lang="ru-RU" sz="900" b="1" baseline="0"/>
              <a:t> </a:t>
            </a:r>
            <a:r>
              <a:rPr lang="ru-RU" sz="900" b="1"/>
              <a:t>дол.США</a:t>
            </a:r>
          </a:p>
        </c:rich>
      </c:tx>
      <c:layout>
        <c:manualLayout>
          <c:xMode val="edge"/>
          <c:yMode val="edge"/>
          <c:x val="0.17646012571667261"/>
          <c:y val="2.3502601910717669E-2"/>
        </c:manualLayout>
      </c:layout>
      <c:overlay val="0"/>
    </c:title>
    <c:autoTitleDeleted val="0"/>
    <c:plotArea>
      <c:layout>
        <c:manualLayout>
          <c:layoutTarget val="inner"/>
          <c:xMode val="edge"/>
          <c:yMode val="edge"/>
          <c:x val="1.1129741293894501E-2"/>
          <c:y val="0.19200064530940725"/>
          <c:w val="0.95555834427531527"/>
          <c:h val="0.59500753895124814"/>
        </c:manualLayout>
      </c:layout>
      <c:barChart>
        <c:barDir val="col"/>
        <c:grouping val="clustered"/>
        <c:varyColors val="0"/>
        <c:ser>
          <c:idx val="0"/>
          <c:order val="0"/>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path path="circle">
                <a:fillToRect l="100000" t="100000"/>
              </a:path>
              <a:tileRect r="-100000" b="-100000"/>
            </a:gradFill>
            <a:ln>
              <a:solidFill>
                <a:schemeClr val="tx2">
                  <a:lumMod val="75000"/>
                </a:schemeClr>
              </a:solidFill>
            </a:ln>
          </c:spPr>
          <c:invertIfNegative val="0"/>
          <c:dLbls>
            <c:spPr>
              <a:noFill/>
              <a:ln>
                <a:noFill/>
              </a:ln>
              <a:effectLst/>
            </c:spPr>
            <c:txPr>
              <a:bodyPr/>
              <a:lstStyle/>
              <a:p>
                <a:pPr>
                  <a:defRPr b="1"/>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'[Діаграма у програмі Microsoft Word]2017'!$D$54:$J$54</c:f>
              <c:strCache>
                <c:ptCount val="7"/>
                <c:pt idx="0">
                  <c:v>на 31.12.2012 р.</c:v>
                </c:pt>
                <c:pt idx="1">
                  <c:v>на 31.12.2013 р.</c:v>
                </c:pt>
                <c:pt idx="2">
                  <c:v>на 31.12.2014 р.</c:v>
                </c:pt>
                <c:pt idx="3">
                  <c:v>на 31.12.2015р.</c:v>
                </c:pt>
                <c:pt idx="4">
                  <c:v>на 31.12.2016р.</c:v>
                </c:pt>
                <c:pt idx="5">
                  <c:v>на 31.12.2017р.</c:v>
                </c:pt>
                <c:pt idx="6">
                  <c:v>на 30.09.2018р.</c:v>
                </c:pt>
              </c:strCache>
            </c:strRef>
          </c:cat>
          <c:val>
            <c:numRef>
              <c:f>'[Діаграма у програмі Microsoft Word]2017'!$D$55:$J$55</c:f>
              <c:numCache>
                <c:formatCode>0.0</c:formatCode>
                <c:ptCount val="7"/>
                <c:pt idx="0">
                  <c:v>188.6</c:v>
                </c:pt>
                <c:pt idx="1">
                  <c:v>338.7</c:v>
                </c:pt>
                <c:pt idx="2">
                  <c:v>505.3</c:v>
                </c:pt>
                <c:pt idx="3">
                  <c:v>464.8</c:v>
                </c:pt>
                <c:pt idx="4">
                  <c:v>456.3</c:v>
                </c:pt>
                <c:pt idx="5">
                  <c:v>498.1</c:v>
                </c:pt>
                <c:pt idx="6" formatCode="General">
                  <c:v>494.7</c:v>
                </c:pt>
              </c:numCache>
            </c:numRef>
          </c:val>
        </c:ser>
        <c:dLbls>
          <c:showLegendKey val="0"/>
          <c:showVal val="0"/>
          <c:showCatName val="0"/>
          <c:showSerName val="0"/>
          <c:showPercent val="0"/>
          <c:showBubbleSize val="0"/>
        </c:dLbls>
        <c:gapWidth val="150"/>
        <c:axId val="411335656"/>
        <c:axId val="411325072"/>
      </c:barChart>
      <c:catAx>
        <c:axId val="411335656"/>
        <c:scaling>
          <c:orientation val="minMax"/>
        </c:scaling>
        <c:delete val="0"/>
        <c:axPos val="b"/>
        <c:numFmt formatCode="General" sourceLinked="1"/>
        <c:majorTickMark val="out"/>
        <c:minorTickMark val="none"/>
        <c:tickLblPos val="low"/>
        <c:txPr>
          <a:bodyPr rot="0" vert="horz"/>
          <a:lstStyle/>
          <a:p>
            <a:pPr>
              <a:defRPr sz="700"/>
            </a:pPr>
            <a:endParaRPr lang="uk-UA"/>
          </a:p>
        </c:txPr>
        <c:crossAx val="411325072"/>
        <c:crosses val="autoZero"/>
        <c:auto val="1"/>
        <c:lblAlgn val="ctr"/>
        <c:lblOffset val="100"/>
        <c:noMultiLvlLbl val="0"/>
      </c:catAx>
      <c:valAx>
        <c:axId val="411325072"/>
        <c:scaling>
          <c:orientation val="minMax"/>
        </c:scaling>
        <c:delete val="1"/>
        <c:axPos val="l"/>
        <c:majorGridlines>
          <c:spPr>
            <a:ln>
              <a:solidFill>
                <a:schemeClr val="bg1">
                  <a:lumMod val="95000"/>
                </a:schemeClr>
              </a:solidFill>
              <a:prstDash val="sysDot"/>
            </a:ln>
          </c:spPr>
        </c:majorGridlines>
        <c:numFmt formatCode="0.0" sourceLinked="1"/>
        <c:majorTickMark val="out"/>
        <c:minorTickMark val="none"/>
        <c:tickLblPos val="nextTo"/>
        <c:crossAx val="411335656"/>
        <c:crosses val="autoZero"/>
        <c:crossBetween val="between"/>
        <c:majorUnit val="50"/>
      </c:valAx>
    </c:plotArea>
    <c:plotVisOnly val="1"/>
    <c:dispBlanksAs val="gap"/>
    <c:showDLblsOverMax val="0"/>
  </c:chart>
  <c:spPr>
    <a:ln>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00" b="1"/>
            </a:pPr>
            <a:r>
              <a:rPr lang="uk-UA" sz="1000" b="1"/>
              <a:t>Прямі інвестиції у розрахунку на одну особу, млн.дол.США</a:t>
            </a:r>
          </a:p>
        </c:rich>
      </c:tx>
      <c:overlay val="0"/>
    </c:title>
    <c:autoTitleDeleted val="0"/>
    <c:plotArea>
      <c:layout>
        <c:manualLayout>
          <c:layoutTarget val="inner"/>
          <c:xMode val="edge"/>
          <c:yMode val="edge"/>
          <c:x val="8.4209152134873899E-2"/>
          <c:y val="0.26820987511616834"/>
          <c:w val="0.88710181719088521"/>
          <c:h val="0.54430226326421238"/>
        </c:manualLayout>
      </c:layout>
      <c:lineChart>
        <c:grouping val="standard"/>
        <c:varyColors val="0"/>
        <c:ser>
          <c:idx val="0"/>
          <c:order val="0"/>
          <c:spPr>
            <a:ln>
              <a:solidFill>
                <a:srgbClr val="0070C0"/>
              </a:solidFill>
            </a:ln>
          </c:spPr>
          <c:marker>
            <c:spPr>
              <a:solidFill>
                <a:schemeClr val="accent1"/>
              </a:solidFill>
            </c:spPr>
          </c:marker>
          <c:dLbls>
            <c:dLbl>
              <c:idx val="4"/>
              <c:layout>
                <c:manualLayout>
                  <c:x val="-3.4635340186001125E-2"/>
                  <c:y val="8.654070723429074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Лист1!$A$90:$F$90</c:f>
              <c:strCache>
                <c:ptCount val="6"/>
                <c:pt idx="0">
                  <c:v>станом на 01.01.2013 р.</c:v>
                </c:pt>
                <c:pt idx="1">
                  <c:v>станом на 01.01.2014 р.</c:v>
                </c:pt>
                <c:pt idx="2">
                  <c:v>станом на 01.01.2015 р.</c:v>
                </c:pt>
                <c:pt idx="3">
                  <c:v>станом на 01.01.2016 р.</c:v>
                </c:pt>
                <c:pt idx="4">
                  <c:v>станом на 31.12.2017р.</c:v>
                </c:pt>
                <c:pt idx="5">
                  <c:v>станом на 31.12.2018р.</c:v>
                </c:pt>
              </c:strCache>
            </c:strRef>
          </c:cat>
          <c:val>
            <c:numRef>
              <c:f>Лист1!$A$91:$F$91</c:f>
              <c:numCache>
                <c:formatCode>0</c:formatCode>
                <c:ptCount val="6"/>
                <c:pt idx="0">
                  <c:v>787.5</c:v>
                </c:pt>
                <c:pt idx="1">
                  <c:v>1400.4</c:v>
                </c:pt>
                <c:pt idx="2">
                  <c:v>2069.8000000000002</c:v>
                </c:pt>
                <c:pt idx="3">
                  <c:v>1823.5</c:v>
                </c:pt>
                <c:pt idx="4">
                  <c:v>1967.2</c:v>
                </c:pt>
                <c:pt idx="5">
                  <c:v>1918.4</c:v>
                </c:pt>
              </c:numCache>
            </c:numRef>
          </c:val>
          <c:smooth val="0"/>
        </c:ser>
        <c:dLbls>
          <c:showLegendKey val="0"/>
          <c:showVal val="0"/>
          <c:showCatName val="0"/>
          <c:showSerName val="0"/>
          <c:showPercent val="0"/>
          <c:showBubbleSize val="0"/>
        </c:dLbls>
        <c:marker val="1"/>
        <c:smooth val="0"/>
        <c:axId val="535911976"/>
        <c:axId val="535916680"/>
      </c:lineChart>
      <c:catAx>
        <c:axId val="535911976"/>
        <c:scaling>
          <c:orientation val="minMax"/>
        </c:scaling>
        <c:delete val="0"/>
        <c:axPos val="b"/>
        <c:numFmt formatCode="General" sourceLinked="1"/>
        <c:majorTickMark val="out"/>
        <c:minorTickMark val="none"/>
        <c:tickLblPos val="low"/>
        <c:txPr>
          <a:bodyPr rot="0" vert="horz"/>
          <a:lstStyle/>
          <a:p>
            <a:pPr>
              <a:defRPr sz="800"/>
            </a:pPr>
            <a:endParaRPr lang="uk-UA"/>
          </a:p>
        </c:txPr>
        <c:crossAx val="535916680"/>
        <c:crosses val="autoZero"/>
        <c:auto val="1"/>
        <c:lblAlgn val="ctr"/>
        <c:lblOffset val="100"/>
        <c:noMultiLvlLbl val="0"/>
      </c:catAx>
      <c:valAx>
        <c:axId val="535916680"/>
        <c:scaling>
          <c:orientation val="minMax"/>
        </c:scaling>
        <c:delete val="1"/>
        <c:axPos val="r"/>
        <c:numFmt formatCode="0" sourceLinked="1"/>
        <c:majorTickMark val="out"/>
        <c:minorTickMark val="none"/>
        <c:tickLblPos val="nextTo"/>
        <c:crossAx val="535911976"/>
        <c:crosses val="max"/>
        <c:crossBetween val="between"/>
        <c:majorUnit val="50"/>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Arial" pitchFamily="34" charset="0"/>
          <a:ea typeface="Calibri"/>
          <a:cs typeface="Arial" pitchFamily="34" charset="0"/>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uk-UA"/>
              <a:t>Структура експортних поставок за 11 м. 2018р. </a:t>
            </a:r>
          </a:p>
        </c:rich>
      </c:tx>
      <c:overlay val="0"/>
    </c:title>
    <c:autoTitleDeleted val="0"/>
    <c:plotArea>
      <c:layout>
        <c:manualLayout>
          <c:layoutTarget val="inner"/>
          <c:xMode val="edge"/>
          <c:yMode val="edge"/>
          <c:x val="0.37430072277946669"/>
          <c:y val="0.34707661401835871"/>
          <c:w val="0.38749324755046038"/>
          <c:h val="0.52847671818800424"/>
        </c:manualLayout>
      </c:layout>
      <c:doughnut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0.16433110491049499"/>
                  <c:y val="0.14205912464240555"/>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5683837885987528"/>
                  <c:y val="0.17987852628169904"/>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1172383019464625"/>
                  <c:y val="8.6090781429599125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6552501102522771"/>
                  <c:y val="-4.846425692851386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15959999693412738"/>
                  <c:y val="-0.16096683452479868"/>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2.2142931647370075E-2"/>
                  <c:y val="-0.17959094645617593"/>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7.5637743157855444E-2"/>
                  <c:y val="-0.15063121559549819"/>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11236597821438454"/>
                  <c:y val="-0.17234718180573644"/>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600"/>
                </a:pPr>
                <a:endParaRPr lang="uk-UA"/>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Лист1!$A$47:$A$53</c:f>
              <c:strCache>
                <c:ptCount val="7"/>
                <c:pt idx="0">
                  <c:v>машини, обладнання та механізми, електротехнічне обладання</c:v>
                </c:pt>
                <c:pt idx="1">
                  <c:v>продукти тваринного походження</c:v>
                </c:pt>
                <c:pt idx="2">
                  <c:v>продукція хімічної промисловості</c:v>
                </c:pt>
                <c:pt idx="3">
                  <c:v>продукти рослинного походження</c:v>
                </c:pt>
                <c:pt idx="4">
                  <c:v>деревина і вироби здеревини</c:v>
                </c:pt>
                <c:pt idx="5">
                  <c:v>різні промислові товари </c:v>
                </c:pt>
                <c:pt idx="6">
                  <c:v>інші</c:v>
                </c:pt>
              </c:strCache>
            </c:strRef>
          </c:cat>
          <c:val>
            <c:numRef>
              <c:f>Лист1!$B$47:$B$53</c:f>
              <c:numCache>
                <c:formatCode>0.0%</c:formatCode>
                <c:ptCount val="7"/>
                <c:pt idx="0">
                  <c:v>0.68500000000000005</c:v>
                </c:pt>
                <c:pt idx="1">
                  <c:v>0.11899999999999999</c:v>
                </c:pt>
                <c:pt idx="2">
                  <c:v>1.7000000000000001E-2</c:v>
                </c:pt>
                <c:pt idx="3">
                  <c:v>5.6000000000000001E-2</c:v>
                </c:pt>
                <c:pt idx="4">
                  <c:v>0.06</c:v>
                </c:pt>
                <c:pt idx="5">
                  <c:v>2.1000000000000001E-2</c:v>
                </c:pt>
                <c:pt idx="6">
                  <c:v>4.2000000000000003E-2</c:v>
                </c:pt>
              </c:numCache>
            </c:numRef>
          </c:val>
        </c:ser>
        <c:dLbls>
          <c:showLegendKey val="0"/>
          <c:showVal val="0"/>
          <c:showCatName val="0"/>
          <c:showSerName val="0"/>
          <c:showPercent val="0"/>
          <c:showBubbleSize val="0"/>
          <c:showLeaderLines val="0"/>
        </c:dLbls>
        <c:firstSliceAng val="0"/>
        <c:holeSize val="50"/>
      </c:doughnutChart>
    </c:plotArea>
    <c:plotVisOnly val="1"/>
    <c:dispBlanksAs val="gap"/>
    <c:showDLblsOverMax val="0"/>
  </c:chart>
  <c:spPr>
    <a:noFill/>
    <a:ln>
      <a:solidFill>
        <a:schemeClr val="accent1"/>
      </a:solidFill>
    </a:ln>
  </c:spPr>
  <c:txPr>
    <a:bodyPr/>
    <a:lstStyle/>
    <a:p>
      <a:pPr>
        <a:defRPr sz="700">
          <a:latin typeface="Arial" pitchFamily="34" charset="0"/>
          <a:cs typeface="Arial" pitchFamily="34" charset="0"/>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uk-UA"/>
              <a:t>Зовнішньоекономічна діяльність, млн дол.США</a:t>
            </a:r>
          </a:p>
        </c:rich>
      </c:tx>
      <c:overlay val="0"/>
    </c:title>
    <c:autoTitleDeleted val="0"/>
    <c:plotArea>
      <c:layout>
        <c:manualLayout>
          <c:layoutTarget val="inner"/>
          <c:xMode val="edge"/>
          <c:yMode val="edge"/>
          <c:x val="2.4444444444444446E-2"/>
          <c:y val="0.23109594204459319"/>
          <c:w val="0.94504768420445273"/>
          <c:h val="0.53357810292249253"/>
        </c:manualLayout>
      </c:layout>
      <c:barChart>
        <c:barDir val="col"/>
        <c:grouping val="clustered"/>
        <c:varyColors val="0"/>
        <c:ser>
          <c:idx val="0"/>
          <c:order val="0"/>
          <c:tx>
            <c:strRef>
              <c:f>Лист1!$A$30</c:f>
              <c:strCache>
                <c:ptCount val="1"/>
                <c:pt idx="0">
                  <c:v>Експорт   </c:v>
                </c:pt>
              </c:strCache>
            </c:strRef>
          </c:tx>
          <c:invertIfNegative val="0"/>
          <c:dLbls>
            <c:spPr>
              <a:noFill/>
              <a:ln>
                <a:noFill/>
              </a:ln>
              <a:effectLst/>
            </c:spPr>
            <c:txPr>
              <a:bodyPr/>
              <a:lstStyle/>
              <a:p>
                <a:pPr>
                  <a:defRPr b="1" i="1"/>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Лист1!$B$29:$F$29</c:f>
              <c:strCache>
                <c:ptCount val="5"/>
                <c:pt idx="0">
                  <c:v>2014 р.</c:v>
                </c:pt>
                <c:pt idx="1">
                  <c:v>2015р.</c:v>
                </c:pt>
                <c:pt idx="2">
                  <c:v>2016р.</c:v>
                </c:pt>
                <c:pt idx="3">
                  <c:v>2017р.</c:v>
                </c:pt>
                <c:pt idx="4">
                  <c:v>11 м. 2018р.</c:v>
                </c:pt>
              </c:strCache>
            </c:strRef>
          </c:cat>
          <c:val>
            <c:numRef>
              <c:f>Лист1!$B$30:$F$30</c:f>
              <c:numCache>
                <c:formatCode>#,##0</c:formatCode>
                <c:ptCount val="5"/>
                <c:pt idx="0">
                  <c:v>200.4</c:v>
                </c:pt>
                <c:pt idx="1">
                  <c:v>169.6</c:v>
                </c:pt>
                <c:pt idx="2">
                  <c:v>379.6</c:v>
                </c:pt>
                <c:pt idx="3" formatCode="General">
                  <c:v>252.7</c:v>
                </c:pt>
                <c:pt idx="4" formatCode="General">
                  <c:v>208</c:v>
                </c:pt>
              </c:numCache>
            </c:numRef>
          </c:val>
        </c:ser>
        <c:ser>
          <c:idx val="1"/>
          <c:order val="1"/>
          <c:tx>
            <c:strRef>
              <c:f>Лист1!$A$31</c:f>
              <c:strCache>
                <c:ptCount val="1"/>
                <c:pt idx="0">
                  <c:v>Імпорт </c:v>
                </c:pt>
              </c:strCache>
            </c:strRef>
          </c:tx>
          <c:invertIfNegative val="0"/>
          <c:dLbls>
            <c:dLbl>
              <c:idx val="2"/>
              <c:layout>
                <c:manualLayout>
                  <c:x val="2.6666666666666668E-2"/>
                  <c:y val="-8.583690987124463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6666666666666505E-2"/>
                  <c:y val="-3.9341462548387961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Лист1!$B$29:$F$29</c:f>
              <c:strCache>
                <c:ptCount val="5"/>
                <c:pt idx="0">
                  <c:v>2014 р.</c:v>
                </c:pt>
                <c:pt idx="1">
                  <c:v>2015р.</c:v>
                </c:pt>
                <c:pt idx="2">
                  <c:v>2016р.</c:v>
                </c:pt>
                <c:pt idx="3">
                  <c:v>2017р.</c:v>
                </c:pt>
                <c:pt idx="4">
                  <c:v>11 м. 2018р.</c:v>
                </c:pt>
              </c:strCache>
            </c:strRef>
          </c:cat>
          <c:val>
            <c:numRef>
              <c:f>Лист1!$B$31:$F$31</c:f>
              <c:numCache>
                <c:formatCode>0.0</c:formatCode>
                <c:ptCount val="5"/>
                <c:pt idx="0">
                  <c:v>230.9</c:v>
                </c:pt>
                <c:pt idx="1">
                  <c:v>142.5</c:v>
                </c:pt>
                <c:pt idx="2">
                  <c:v>196.8</c:v>
                </c:pt>
                <c:pt idx="3">
                  <c:v>232.4</c:v>
                </c:pt>
                <c:pt idx="4">
                  <c:v>224.6</c:v>
                </c:pt>
              </c:numCache>
            </c:numRef>
          </c:val>
        </c:ser>
        <c:dLbls>
          <c:dLblPos val="outEnd"/>
          <c:showLegendKey val="0"/>
          <c:showVal val="1"/>
          <c:showCatName val="0"/>
          <c:showSerName val="0"/>
          <c:showPercent val="0"/>
          <c:showBubbleSize val="0"/>
        </c:dLbls>
        <c:gapWidth val="150"/>
        <c:axId val="535911584"/>
        <c:axId val="535912760"/>
      </c:barChart>
      <c:catAx>
        <c:axId val="535911584"/>
        <c:scaling>
          <c:orientation val="minMax"/>
        </c:scaling>
        <c:delete val="0"/>
        <c:axPos val="b"/>
        <c:numFmt formatCode="General" sourceLinked="0"/>
        <c:majorTickMark val="out"/>
        <c:minorTickMark val="none"/>
        <c:tickLblPos val="nextTo"/>
        <c:crossAx val="535912760"/>
        <c:crosses val="autoZero"/>
        <c:auto val="1"/>
        <c:lblAlgn val="ctr"/>
        <c:lblOffset val="100"/>
        <c:noMultiLvlLbl val="0"/>
      </c:catAx>
      <c:valAx>
        <c:axId val="535912760"/>
        <c:scaling>
          <c:orientation val="minMax"/>
        </c:scaling>
        <c:delete val="1"/>
        <c:axPos val="l"/>
        <c:majorGridlines/>
        <c:numFmt formatCode="#,##0" sourceLinked="1"/>
        <c:majorTickMark val="out"/>
        <c:minorTickMark val="none"/>
        <c:tickLblPos val="nextTo"/>
        <c:crossAx val="535911584"/>
        <c:crosses val="autoZero"/>
        <c:crossBetween val="between"/>
      </c:valAx>
    </c:plotArea>
    <c:legend>
      <c:legendPos val="b"/>
      <c:overlay val="0"/>
      <c:txPr>
        <a:bodyPr/>
        <a:lstStyle/>
        <a:p>
          <a:pPr>
            <a:defRPr b="1"/>
          </a:pPr>
          <a:endParaRPr lang="uk-UA"/>
        </a:p>
      </c:txPr>
    </c:legend>
    <c:plotVisOnly val="1"/>
    <c:dispBlanksAs val="gap"/>
    <c:showDLblsOverMax val="0"/>
  </c:chart>
  <c:txPr>
    <a:bodyPr/>
    <a:lstStyle/>
    <a:p>
      <a:pPr>
        <a:defRPr sz="700">
          <a:latin typeface="Arial" pitchFamily="34" charset="0"/>
          <a:cs typeface="Arial" pitchFamily="34" charset="0"/>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ru-RU"/>
              <a:t>Кількість  малих і середніх підприємств у розрахунку на 10 тис. осіб наявного населення</a:t>
            </a:r>
          </a:p>
        </c:rich>
      </c:tx>
      <c:layout>
        <c:manualLayout>
          <c:xMode val="edge"/>
          <c:yMode val="edge"/>
          <c:x val="0.11181485647627382"/>
          <c:y val="2.5078369905956112E-2"/>
        </c:manualLayout>
      </c:layout>
      <c:overlay val="0"/>
    </c:title>
    <c:autoTitleDeleted val="0"/>
    <c:plotArea>
      <c:layout/>
      <c:barChart>
        <c:barDir val="bar"/>
        <c:grouping val="clustered"/>
        <c:varyColors val="0"/>
        <c:ser>
          <c:idx val="0"/>
          <c:order val="0"/>
          <c:spPr>
            <a:solidFill>
              <a:srgbClr val="00B0F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'інші міста'!$AN$5:$AN$11</c:f>
              <c:strCache>
                <c:ptCount val="7"/>
                <c:pt idx="0">
                  <c:v>м.Житомир</c:v>
                </c:pt>
                <c:pt idx="1">
                  <c:v>м.Тернопіль</c:v>
                </c:pt>
                <c:pt idx="2">
                  <c:v>м.Вінниця</c:v>
                </c:pt>
                <c:pt idx="3">
                  <c:v>м.Хмельницький</c:v>
                </c:pt>
                <c:pt idx="4">
                  <c:v>м.Рівне</c:v>
                </c:pt>
                <c:pt idx="5">
                  <c:v>м.Луцьк</c:v>
                </c:pt>
                <c:pt idx="6">
                  <c:v>м.Івано-Франківськ</c:v>
                </c:pt>
              </c:strCache>
            </c:strRef>
          </c:cat>
          <c:val>
            <c:numRef>
              <c:f>'інші міста'!$AO$5:$AO$11</c:f>
              <c:numCache>
                <c:formatCode>General</c:formatCode>
                <c:ptCount val="7"/>
                <c:pt idx="0">
                  <c:v>94</c:v>
                </c:pt>
                <c:pt idx="1">
                  <c:v>100</c:v>
                </c:pt>
                <c:pt idx="2">
                  <c:v>100</c:v>
                </c:pt>
                <c:pt idx="3">
                  <c:v>103</c:v>
                </c:pt>
                <c:pt idx="4">
                  <c:v>111</c:v>
                </c:pt>
                <c:pt idx="5">
                  <c:v>126</c:v>
                </c:pt>
                <c:pt idx="6">
                  <c:v>138</c:v>
                </c:pt>
              </c:numCache>
            </c:numRef>
          </c:val>
          <c:extLst xmlns:c16r2="http://schemas.microsoft.com/office/drawing/2015/06/chart">
            <c:ext xmlns:c16="http://schemas.microsoft.com/office/drawing/2014/chart" uri="{C3380CC4-5D6E-409C-BE32-E72D297353CC}">
              <c16:uniqueId val="{00000000-D014-4259-8616-9D2461B85FB2}"/>
            </c:ext>
          </c:extLst>
        </c:ser>
        <c:dLbls>
          <c:showLegendKey val="0"/>
          <c:showVal val="1"/>
          <c:showCatName val="0"/>
          <c:showSerName val="0"/>
          <c:showPercent val="0"/>
          <c:showBubbleSize val="0"/>
        </c:dLbls>
        <c:gapWidth val="150"/>
        <c:overlap val="-25"/>
        <c:axId val="535918248"/>
        <c:axId val="535912368"/>
      </c:barChart>
      <c:catAx>
        <c:axId val="535918248"/>
        <c:scaling>
          <c:orientation val="minMax"/>
        </c:scaling>
        <c:delete val="0"/>
        <c:axPos val="l"/>
        <c:numFmt formatCode="General" sourceLinked="1"/>
        <c:majorTickMark val="none"/>
        <c:minorTickMark val="none"/>
        <c:tickLblPos val="nextTo"/>
        <c:crossAx val="535912368"/>
        <c:crosses val="autoZero"/>
        <c:auto val="1"/>
        <c:lblAlgn val="ctr"/>
        <c:lblOffset val="100"/>
        <c:noMultiLvlLbl val="0"/>
      </c:catAx>
      <c:valAx>
        <c:axId val="535912368"/>
        <c:scaling>
          <c:orientation val="minMax"/>
        </c:scaling>
        <c:delete val="1"/>
        <c:axPos val="b"/>
        <c:numFmt formatCode="General" sourceLinked="1"/>
        <c:majorTickMark val="out"/>
        <c:minorTickMark val="none"/>
        <c:tickLblPos val="nextTo"/>
        <c:crossAx val="535918248"/>
        <c:crosses val="autoZero"/>
        <c:crossBetween val="between"/>
      </c:valAx>
    </c:plotArea>
    <c:plotVisOnly val="1"/>
    <c:dispBlanksAs val="gap"/>
    <c:showDLblsOverMax val="0"/>
  </c:chart>
  <c:spPr>
    <a:noFill/>
    <a:ln>
      <a:noFill/>
    </a:ln>
  </c:spPr>
  <c:txPr>
    <a:bodyPr/>
    <a:lstStyle/>
    <a:p>
      <a:pPr>
        <a:defRPr sz="700">
          <a:latin typeface="Arial" panose="020B0604020202020204" pitchFamily="34" charset="0"/>
          <a:cs typeface="Arial" panose="020B0604020202020204" pitchFamily="34" charset="0"/>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80A6-402D-4044-A740-F6D22382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77564</Words>
  <Characters>44213</Characters>
  <Application>Microsoft Office Word</Application>
  <DocSecurity>0</DocSecurity>
  <Lines>368</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509</cp:revision>
  <cp:lastPrinted>2019-02-27T12:42:00Z</cp:lastPrinted>
  <dcterms:created xsi:type="dcterms:W3CDTF">2019-02-04T14:21:00Z</dcterms:created>
  <dcterms:modified xsi:type="dcterms:W3CDTF">2019-05-03T08:44:00Z</dcterms:modified>
</cp:coreProperties>
</file>