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1976D" w14:textId="69069DB9" w:rsidR="00E82353" w:rsidRPr="00E82353" w:rsidRDefault="00E82353" w:rsidP="00E8235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r w:rsidRPr="00E823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7</w:t>
      </w:r>
    </w:p>
    <w:p w14:paraId="5AFACBD9" w14:textId="77777777" w:rsidR="008D6DB0" w:rsidRDefault="008D6DB0" w:rsidP="008D6DB0">
      <w:pPr>
        <w:spacing w:line="240" w:lineRule="auto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0"/>
          <w:lang w:val="uk-UA" w:eastAsia="ru-RU"/>
        </w:rPr>
      </w:pPr>
      <w:proofErr w:type="spellStart"/>
      <w:r w:rsidRPr="008D6DB0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>Оцінка</w:t>
      </w:r>
      <w:proofErr w:type="spellEnd"/>
      <w:r w:rsidRPr="008D6DB0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 xml:space="preserve"> стану </w:t>
      </w:r>
      <w:proofErr w:type="spellStart"/>
      <w:r w:rsidRPr="008D6DB0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>фінансування</w:t>
      </w:r>
      <w:proofErr w:type="spellEnd"/>
      <w:r w:rsidRPr="008D6DB0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8"/>
          <w:szCs w:val="20"/>
          <w:lang w:val="uk-UA" w:eastAsia="ru-RU"/>
        </w:rPr>
        <w:t>КНП «ЦПМКДД»</w:t>
      </w:r>
    </w:p>
    <w:p w14:paraId="3468290E" w14:textId="1D451F77" w:rsidR="001737DE" w:rsidRPr="005B5920" w:rsidRDefault="008D6DB0" w:rsidP="008D6DB0">
      <w:pPr>
        <w:spacing w:line="240" w:lineRule="auto"/>
        <w:contextualSpacing/>
        <w:jc w:val="center"/>
        <w:rPr>
          <w:b/>
          <w:bCs/>
          <w:lang w:val="uk-UA"/>
        </w:rPr>
      </w:pPr>
      <w:r w:rsidRPr="008D6DB0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 xml:space="preserve"> за </w:t>
      </w:r>
      <w:proofErr w:type="spellStart"/>
      <w:r w:rsidRPr="008D6DB0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>поточний</w:t>
      </w:r>
      <w:proofErr w:type="spellEnd"/>
      <w:r w:rsidRPr="008D6DB0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 xml:space="preserve"> і </w:t>
      </w:r>
      <w:proofErr w:type="spellStart"/>
      <w:r w:rsidRPr="008D6DB0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>попередні</w:t>
      </w:r>
      <w:proofErr w:type="spellEnd"/>
      <w:r w:rsidRPr="008D6DB0"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 xml:space="preserve"> два роки</w:t>
      </w:r>
      <w:r w:rsidR="005B5920">
        <w:rPr>
          <w:rFonts w:ascii="Times New Roman" w:eastAsia="Times New Roman" w:hAnsi="Times New Roman" w:cs="Arial"/>
          <w:b/>
          <w:bCs/>
          <w:sz w:val="28"/>
          <w:szCs w:val="20"/>
          <w:lang w:val="uk-UA" w:eastAsia="ru-RU"/>
        </w:rPr>
        <w:t xml:space="preserve">, </w:t>
      </w:r>
      <w:proofErr w:type="spellStart"/>
      <w:proofErr w:type="gramStart"/>
      <w:r w:rsidR="005B5920">
        <w:rPr>
          <w:rFonts w:ascii="Times New Roman" w:eastAsia="Times New Roman" w:hAnsi="Times New Roman" w:cs="Arial"/>
          <w:b/>
          <w:bCs/>
          <w:sz w:val="28"/>
          <w:szCs w:val="20"/>
          <w:lang w:val="uk-UA" w:eastAsia="ru-RU"/>
        </w:rPr>
        <w:t>тис.гривень</w:t>
      </w:r>
      <w:proofErr w:type="spellEnd"/>
      <w:proofErr w:type="gramEnd"/>
    </w:p>
    <w:tbl>
      <w:tblPr>
        <w:tblStyle w:val="a3"/>
        <w:tblW w:w="9068" w:type="dxa"/>
        <w:tblLook w:val="04A0" w:firstRow="1" w:lastRow="0" w:firstColumn="1" w:lastColumn="0" w:noHBand="0" w:noVBand="1"/>
      </w:tblPr>
      <w:tblGrid>
        <w:gridCol w:w="3114"/>
        <w:gridCol w:w="1985"/>
        <w:gridCol w:w="1984"/>
        <w:gridCol w:w="1985"/>
      </w:tblGrid>
      <w:tr w:rsidR="005B5920" w:rsidRPr="008D6DB0" w14:paraId="439CC29A" w14:textId="77777777" w:rsidTr="005B5920">
        <w:tc>
          <w:tcPr>
            <w:tcW w:w="3114" w:type="dxa"/>
          </w:tcPr>
          <w:p w14:paraId="52E96B59" w14:textId="77777777" w:rsidR="005B5920" w:rsidRPr="008D6DB0" w:rsidRDefault="005B5920" w:rsidP="00A55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5FC80607" w14:textId="1158C636" w:rsidR="005B5920" w:rsidRPr="008D6DB0" w:rsidRDefault="005B5920" w:rsidP="00A55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03.08.</w:t>
            </w:r>
            <w:r w:rsidRPr="008D6DB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4" w:type="dxa"/>
          </w:tcPr>
          <w:p w14:paraId="179C2C70" w14:textId="15B8CFE0" w:rsidR="005B5920" w:rsidRPr="008D6DB0" w:rsidRDefault="005B5920" w:rsidP="00A55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D6DB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5" w:type="dxa"/>
          </w:tcPr>
          <w:p w14:paraId="5D617BC2" w14:textId="77777777" w:rsidR="005B5920" w:rsidRDefault="005B5920" w:rsidP="00A55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6 місяців</w:t>
            </w:r>
          </w:p>
          <w:p w14:paraId="7FD5AEB8" w14:textId="2CCAD6C9" w:rsidR="005B5920" w:rsidRPr="008D6DB0" w:rsidRDefault="005B5920" w:rsidP="00A55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D6DB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р.</w:t>
            </w:r>
          </w:p>
        </w:tc>
      </w:tr>
      <w:tr w:rsidR="005B5920" w:rsidRPr="008D6DB0" w14:paraId="7F954287" w14:textId="77777777" w:rsidTr="005B5920">
        <w:tc>
          <w:tcPr>
            <w:tcW w:w="3114" w:type="dxa"/>
          </w:tcPr>
          <w:p w14:paraId="6FE26E3A" w14:textId="77777777" w:rsidR="005B5920" w:rsidRPr="008D6DB0" w:rsidRDefault="005B5920" w:rsidP="00A55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D6DB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Субвенція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державного бюджету</w:t>
            </w:r>
          </w:p>
        </w:tc>
        <w:tc>
          <w:tcPr>
            <w:tcW w:w="1985" w:type="dxa"/>
          </w:tcPr>
          <w:p w14:paraId="5CAB9091" w14:textId="77777777" w:rsidR="005B5920" w:rsidRPr="008D6DB0" w:rsidRDefault="005B5920" w:rsidP="00A55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16816,6</w:t>
            </w:r>
          </w:p>
        </w:tc>
        <w:tc>
          <w:tcPr>
            <w:tcW w:w="1984" w:type="dxa"/>
          </w:tcPr>
          <w:p w14:paraId="3CD6014A" w14:textId="77777777" w:rsidR="005B5920" w:rsidRPr="008D6DB0" w:rsidRDefault="005B5920" w:rsidP="00A55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46189,5</w:t>
            </w:r>
          </w:p>
        </w:tc>
        <w:tc>
          <w:tcPr>
            <w:tcW w:w="1985" w:type="dxa"/>
          </w:tcPr>
          <w:p w14:paraId="78FC3BF6" w14:textId="77777777" w:rsidR="005B5920" w:rsidRPr="008D6DB0" w:rsidRDefault="005B5920" w:rsidP="00A55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11725,1</w:t>
            </w:r>
          </w:p>
        </w:tc>
      </w:tr>
      <w:tr w:rsidR="005B5920" w:rsidRPr="002958AA" w14:paraId="60713247" w14:textId="77777777" w:rsidTr="005B5920">
        <w:tc>
          <w:tcPr>
            <w:tcW w:w="3114" w:type="dxa"/>
          </w:tcPr>
          <w:p w14:paraId="1C26201E" w14:textId="77777777" w:rsidR="005B5920" w:rsidRPr="002958AA" w:rsidRDefault="005B5920" w:rsidP="00A556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958A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958A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т.ч.бюджет</w:t>
            </w:r>
            <w:proofErr w:type="spellEnd"/>
            <w:r w:rsidRPr="002958A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розвитку</w:t>
            </w:r>
          </w:p>
        </w:tc>
        <w:tc>
          <w:tcPr>
            <w:tcW w:w="1985" w:type="dxa"/>
          </w:tcPr>
          <w:p w14:paraId="7DAAE81A" w14:textId="77777777" w:rsidR="005B5920" w:rsidRPr="002958AA" w:rsidRDefault="005B5920" w:rsidP="00A55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</w:tcPr>
          <w:p w14:paraId="2097190B" w14:textId="77777777" w:rsidR="005B5920" w:rsidRPr="002958AA" w:rsidRDefault="005B5920" w:rsidP="00A55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495,0</w:t>
            </w:r>
          </w:p>
        </w:tc>
        <w:tc>
          <w:tcPr>
            <w:tcW w:w="1985" w:type="dxa"/>
          </w:tcPr>
          <w:p w14:paraId="5FA88E8A" w14:textId="77777777" w:rsidR="005B5920" w:rsidRPr="002958AA" w:rsidRDefault="005B5920" w:rsidP="00A55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B5920" w:rsidRPr="008D6DB0" w14:paraId="74966451" w14:textId="77777777" w:rsidTr="005B5920">
        <w:tc>
          <w:tcPr>
            <w:tcW w:w="3114" w:type="dxa"/>
          </w:tcPr>
          <w:p w14:paraId="71A2A814" w14:textId="77777777" w:rsidR="005B5920" w:rsidRPr="008D6DB0" w:rsidRDefault="005B5920" w:rsidP="00A55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Основний бюджет</w:t>
            </w:r>
          </w:p>
        </w:tc>
        <w:tc>
          <w:tcPr>
            <w:tcW w:w="1985" w:type="dxa"/>
          </w:tcPr>
          <w:p w14:paraId="081702C0" w14:textId="77777777" w:rsidR="005B5920" w:rsidRPr="008D6DB0" w:rsidRDefault="005B5920" w:rsidP="00A55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23938,9</w:t>
            </w:r>
          </w:p>
        </w:tc>
        <w:tc>
          <w:tcPr>
            <w:tcW w:w="1984" w:type="dxa"/>
          </w:tcPr>
          <w:p w14:paraId="75D14069" w14:textId="77777777" w:rsidR="005B5920" w:rsidRPr="008D6DB0" w:rsidRDefault="005B5920" w:rsidP="00A55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17457,4</w:t>
            </w:r>
          </w:p>
        </w:tc>
        <w:tc>
          <w:tcPr>
            <w:tcW w:w="1985" w:type="dxa"/>
          </w:tcPr>
          <w:p w14:paraId="77A0F2FA" w14:textId="77777777" w:rsidR="005B5920" w:rsidRPr="008D6DB0" w:rsidRDefault="005B5920" w:rsidP="00A55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14731,8</w:t>
            </w:r>
          </w:p>
        </w:tc>
      </w:tr>
      <w:tr w:rsidR="005B5920" w:rsidRPr="00046EA1" w14:paraId="2F68D704" w14:textId="77777777" w:rsidTr="005B5920">
        <w:tc>
          <w:tcPr>
            <w:tcW w:w="3114" w:type="dxa"/>
          </w:tcPr>
          <w:p w14:paraId="48936F3C" w14:textId="77777777" w:rsidR="005B5920" w:rsidRPr="00046EA1" w:rsidRDefault="005B5920" w:rsidP="00A556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046E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м.Івано</w:t>
            </w:r>
            <w:proofErr w:type="spellEnd"/>
            <w:r w:rsidRPr="00046E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-Франківськ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1985" w:type="dxa"/>
          </w:tcPr>
          <w:p w14:paraId="5B1F3BB8" w14:textId="77777777" w:rsidR="005B5920" w:rsidRPr="00046EA1" w:rsidRDefault="005B5920" w:rsidP="00A55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23938,9</w:t>
            </w:r>
          </w:p>
        </w:tc>
        <w:tc>
          <w:tcPr>
            <w:tcW w:w="1984" w:type="dxa"/>
          </w:tcPr>
          <w:p w14:paraId="5842E366" w14:textId="77777777" w:rsidR="005B5920" w:rsidRPr="00046EA1" w:rsidRDefault="005B5920" w:rsidP="00A55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17457,4</w:t>
            </w:r>
          </w:p>
        </w:tc>
        <w:tc>
          <w:tcPr>
            <w:tcW w:w="1985" w:type="dxa"/>
          </w:tcPr>
          <w:p w14:paraId="191AACEE" w14:textId="77777777" w:rsidR="005B5920" w:rsidRPr="00046EA1" w:rsidRDefault="005B5920" w:rsidP="00A55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5920" w:rsidRPr="00046EA1" w14:paraId="4B08A6B6" w14:textId="77777777" w:rsidTr="005B5920">
        <w:tc>
          <w:tcPr>
            <w:tcW w:w="3114" w:type="dxa"/>
          </w:tcPr>
          <w:p w14:paraId="640D82E7" w14:textId="77777777" w:rsidR="005B5920" w:rsidRPr="00046EA1" w:rsidRDefault="005B5920" w:rsidP="00A556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46E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Івано-Франківська ОТГ</w:t>
            </w:r>
          </w:p>
        </w:tc>
        <w:tc>
          <w:tcPr>
            <w:tcW w:w="1985" w:type="dxa"/>
          </w:tcPr>
          <w:p w14:paraId="7563B893" w14:textId="77777777" w:rsidR="005B5920" w:rsidRPr="00046EA1" w:rsidRDefault="005B5920" w:rsidP="00A55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0DACC562" w14:textId="77777777" w:rsidR="005B5920" w:rsidRPr="00046EA1" w:rsidRDefault="005B5920" w:rsidP="00A55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381CFC52" w14:textId="77777777" w:rsidR="005B5920" w:rsidRPr="00046EA1" w:rsidRDefault="005B5920" w:rsidP="00A55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14731,8</w:t>
            </w:r>
          </w:p>
        </w:tc>
      </w:tr>
      <w:tr w:rsidR="005B5920" w:rsidRPr="008D6DB0" w14:paraId="4E45AF30" w14:textId="77777777" w:rsidTr="005B5920">
        <w:tc>
          <w:tcPr>
            <w:tcW w:w="3114" w:type="dxa"/>
          </w:tcPr>
          <w:p w14:paraId="25F0748D" w14:textId="77777777" w:rsidR="005B5920" w:rsidRDefault="005B5920" w:rsidP="00A55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Резервний фонд</w:t>
            </w:r>
          </w:p>
        </w:tc>
        <w:tc>
          <w:tcPr>
            <w:tcW w:w="1985" w:type="dxa"/>
          </w:tcPr>
          <w:p w14:paraId="14B4164C" w14:textId="77777777" w:rsidR="005B5920" w:rsidRDefault="005B5920" w:rsidP="00A55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5BC8299D" w14:textId="77777777" w:rsidR="005B5920" w:rsidRDefault="005B5920" w:rsidP="00A55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14:paraId="28F15B3B" w14:textId="77777777" w:rsidR="005B5920" w:rsidRPr="008D6DB0" w:rsidRDefault="005B5920" w:rsidP="00A55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450,0</w:t>
            </w:r>
          </w:p>
        </w:tc>
      </w:tr>
      <w:tr w:rsidR="005B5920" w:rsidRPr="008D6DB0" w14:paraId="07A2C725" w14:textId="77777777" w:rsidTr="005B5920">
        <w:tc>
          <w:tcPr>
            <w:tcW w:w="3114" w:type="dxa"/>
          </w:tcPr>
          <w:p w14:paraId="625EAC96" w14:textId="77777777" w:rsidR="005B5920" w:rsidRDefault="005B5920" w:rsidP="00A55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Субвенція з сільського бюджету</w:t>
            </w:r>
          </w:p>
        </w:tc>
        <w:tc>
          <w:tcPr>
            <w:tcW w:w="1985" w:type="dxa"/>
          </w:tcPr>
          <w:p w14:paraId="650FE2C3" w14:textId="77777777" w:rsidR="005B5920" w:rsidRPr="008D6DB0" w:rsidRDefault="005B5920" w:rsidP="00A55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45,5</w:t>
            </w:r>
          </w:p>
        </w:tc>
        <w:tc>
          <w:tcPr>
            <w:tcW w:w="1984" w:type="dxa"/>
          </w:tcPr>
          <w:p w14:paraId="2D7B3EBD" w14:textId="77777777" w:rsidR="005B5920" w:rsidRPr="008D6DB0" w:rsidRDefault="005B5920" w:rsidP="00A55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252,5</w:t>
            </w:r>
          </w:p>
        </w:tc>
        <w:tc>
          <w:tcPr>
            <w:tcW w:w="1985" w:type="dxa"/>
          </w:tcPr>
          <w:p w14:paraId="6C22A1B6" w14:textId="77777777" w:rsidR="005B5920" w:rsidRPr="008D6DB0" w:rsidRDefault="005B5920" w:rsidP="00A55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5B5920" w:rsidRPr="008D6DB0" w14:paraId="03D802E4" w14:textId="77777777" w:rsidTr="005B5920">
        <w:tc>
          <w:tcPr>
            <w:tcW w:w="3114" w:type="dxa"/>
          </w:tcPr>
          <w:p w14:paraId="0ABE8C05" w14:textId="77777777" w:rsidR="005B5920" w:rsidRPr="008D6DB0" w:rsidRDefault="005B5920" w:rsidP="00A55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D6DB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Кошти НСЗУ</w:t>
            </w:r>
          </w:p>
        </w:tc>
        <w:tc>
          <w:tcPr>
            <w:tcW w:w="1985" w:type="dxa"/>
          </w:tcPr>
          <w:p w14:paraId="4B0E4A6C" w14:textId="77777777" w:rsidR="005B5920" w:rsidRPr="008D6DB0" w:rsidRDefault="005B5920" w:rsidP="00A55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23746,2</w:t>
            </w:r>
          </w:p>
        </w:tc>
        <w:tc>
          <w:tcPr>
            <w:tcW w:w="1984" w:type="dxa"/>
          </w:tcPr>
          <w:p w14:paraId="7E49EA52" w14:textId="56C4C19E" w:rsidR="005B5920" w:rsidRPr="008D6DB0" w:rsidRDefault="005B5920" w:rsidP="00A55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117453,6</w:t>
            </w:r>
          </w:p>
        </w:tc>
        <w:tc>
          <w:tcPr>
            <w:tcW w:w="1985" w:type="dxa"/>
          </w:tcPr>
          <w:p w14:paraId="74AF4ADD" w14:textId="34A9A234" w:rsidR="005B5920" w:rsidRPr="008D6DB0" w:rsidRDefault="005B5920" w:rsidP="00A55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73082,0</w:t>
            </w:r>
          </w:p>
        </w:tc>
      </w:tr>
      <w:tr w:rsidR="005B5920" w:rsidRPr="008D6DB0" w14:paraId="320F691B" w14:textId="77777777" w:rsidTr="005B5920">
        <w:tc>
          <w:tcPr>
            <w:tcW w:w="3114" w:type="dxa"/>
          </w:tcPr>
          <w:p w14:paraId="10F38906" w14:textId="77777777" w:rsidR="005B5920" w:rsidRPr="008D6DB0" w:rsidRDefault="005B5920" w:rsidP="00A55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D6DB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Благодійна допомога</w:t>
            </w:r>
          </w:p>
        </w:tc>
        <w:tc>
          <w:tcPr>
            <w:tcW w:w="1985" w:type="dxa"/>
          </w:tcPr>
          <w:p w14:paraId="69DC5463" w14:textId="77777777" w:rsidR="005B5920" w:rsidRPr="008D6DB0" w:rsidRDefault="005B5920" w:rsidP="00A55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92,2</w:t>
            </w:r>
          </w:p>
        </w:tc>
        <w:tc>
          <w:tcPr>
            <w:tcW w:w="1984" w:type="dxa"/>
          </w:tcPr>
          <w:p w14:paraId="449E566C" w14:textId="77777777" w:rsidR="005B5920" w:rsidRPr="008D6DB0" w:rsidRDefault="005B5920" w:rsidP="00A55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321,2</w:t>
            </w:r>
          </w:p>
        </w:tc>
        <w:tc>
          <w:tcPr>
            <w:tcW w:w="1985" w:type="dxa"/>
          </w:tcPr>
          <w:p w14:paraId="09663BC3" w14:textId="77777777" w:rsidR="005B5920" w:rsidRPr="008D6DB0" w:rsidRDefault="005B5920" w:rsidP="00A55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60,1</w:t>
            </w:r>
          </w:p>
        </w:tc>
      </w:tr>
      <w:tr w:rsidR="005B5920" w:rsidRPr="008D6DB0" w14:paraId="283111C8" w14:textId="77777777" w:rsidTr="005B5920">
        <w:tc>
          <w:tcPr>
            <w:tcW w:w="3114" w:type="dxa"/>
          </w:tcPr>
          <w:p w14:paraId="143FEC4E" w14:textId="2ABE5B99" w:rsidR="005B5920" w:rsidRPr="008D6DB0" w:rsidRDefault="005B5920" w:rsidP="005B59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Власні надходження (п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латні послуги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1985" w:type="dxa"/>
          </w:tcPr>
          <w:p w14:paraId="7359285A" w14:textId="77777777" w:rsidR="005B5920" w:rsidRPr="008D6DB0" w:rsidRDefault="005B5920" w:rsidP="00A55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1576,8</w:t>
            </w:r>
          </w:p>
        </w:tc>
        <w:tc>
          <w:tcPr>
            <w:tcW w:w="1984" w:type="dxa"/>
          </w:tcPr>
          <w:p w14:paraId="3E6DF17E" w14:textId="77777777" w:rsidR="005B5920" w:rsidRPr="008D6DB0" w:rsidRDefault="005B5920" w:rsidP="00A55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4109,6</w:t>
            </w:r>
          </w:p>
        </w:tc>
        <w:tc>
          <w:tcPr>
            <w:tcW w:w="1985" w:type="dxa"/>
          </w:tcPr>
          <w:p w14:paraId="1AD63EB9" w14:textId="77777777" w:rsidR="005B5920" w:rsidRPr="008D6DB0" w:rsidRDefault="005B5920" w:rsidP="00A55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1029,0</w:t>
            </w:r>
          </w:p>
        </w:tc>
      </w:tr>
    </w:tbl>
    <w:p w14:paraId="74FE86C9" w14:textId="77777777" w:rsidR="005B5920" w:rsidRDefault="005B5920" w:rsidP="0030167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9A5CECB" w14:textId="6AC07968" w:rsidR="009033E7" w:rsidRPr="0030167A" w:rsidRDefault="0030167A" w:rsidP="0030167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0167A">
        <w:rPr>
          <w:rFonts w:ascii="Times New Roman" w:hAnsi="Times New Roman" w:cs="Times New Roman"/>
          <w:sz w:val="24"/>
          <w:szCs w:val="24"/>
          <w:lang w:val="uk-UA"/>
        </w:rPr>
        <w:t>Діаграма 1</w:t>
      </w:r>
    </w:p>
    <w:p w14:paraId="774699AA" w14:textId="0E484F59" w:rsidR="009033E7" w:rsidRDefault="009033E7">
      <w:bookmarkStart w:id="0" w:name="_GoBack"/>
      <w:r w:rsidRPr="0030167A">
        <w:rPr>
          <w:noProof/>
          <w:u w:val="single"/>
          <w:lang w:val="uk-UA" w:eastAsia="uk-UA"/>
        </w:rPr>
        <w:drawing>
          <wp:inline distT="0" distB="0" distL="0" distR="0" wp14:anchorId="0718B099" wp14:editId="38FEBADE">
            <wp:extent cx="5486400" cy="4488180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14:paraId="1B791A0D" w14:textId="3260D4B4" w:rsidR="009033E7" w:rsidRPr="0030167A" w:rsidRDefault="0030167A" w:rsidP="0030167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0167A">
        <w:rPr>
          <w:rFonts w:ascii="Times New Roman" w:hAnsi="Times New Roman" w:cs="Times New Roman"/>
          <w:sz w:val="24"/>
          <w:szCs w:val="24"/>
          <w:lang w:val="uk-UA"/>
        </w:rPr>
        <w:lastRenderedPageBreak/>
        <w:t>Діаграма 2</w:t>
      </w:r>
    </w:p>
    <w:p w14:paraId="7B8057A3" w14:textId="4C25567B" w:rsidR="009033E7" w:rsidRDefault="0030167A">
      <w:r>
        <w:rPr>
          <w:noProof/>
          <w:lang w:val="uk-UA" w:eastAsia="uk-UA"/>
        </w:rPr>
        <w:drawing>
          <wp:inline distT="0" distB="0" distL="0" distR="0" wp14:anchorId="4F739D4D" wp14:editId="5D51033C">
            <wp:extent cx="5410200" cy="534924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B111F06" w14:textId="77777777" w:rsidR="009033E7" w:rsidRDefault="009033E7"/>
    <w:p w14:paraId="7AA65CBF" w14:textId="2929B2D3" w:rsidR="008D6DB0" w:rsidRDefault="0030167A" w:rsidP="009033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57E1E" w:rsidRPr="009033E7">
        <w:rPr>
          <w:rFonts w:ascii="Times New Roman" w:hAnsi="Times New Roman" w:cs="Times New Roman"/>
          <w:sz w:val="28"/>
          <w:szCs w:val="28"/>
          <w:lang w:val="uk-UA"/>
        </w:rPr>
        <w:t>Субвенція спрямовувалась на виплату заробітної плати: до 1 вересня 2018 року-всім працівникам КНП «ЦПМКДД», з вересня 2018 року до 1 квітня 2020 року-на виплату заробітної плати працівникам вторинної ланки.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76B4A07" w14:textId="1166BB77" w:rsidR="0030167A" w:rsidRDefault="0030167A" w:rsidP="0030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Кошти місцевого бюджету спрямовуються на оплату комунальних послуг, оплату пільгових медикаментів, закупівлю туберкуліну, закупівлю тест-смужок для дітей, хворих на цукровий діабет, на виплату матеріальних заохочень працівникам, на виплату матеріальної допомоги працівникам, у 2018-2019 роках спрямовувались на виплату «оздоровчих» під час надання відпусток. З</w:t>
      </w:r>
      <w:r w:rsidRPr="00173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серпень-грудень 2018 року за рахунок коштів місцевого бюджету проведено капітальних ремонтів на суму 528,99 тис. грн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</w:t>
      </w:r>
      <w:r w:rsidRPr="00173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2019 рік за рахунок коштів місцевого бюджету проведено капітальних ремонтів на суму 752,8 тис. грн. </w:t>
      </w:r>
    </w:p>
    <w:p w14:paraId="1A03CA1C" w14:textId="77777777" w:rsidR="0030167A" w:rsidRDefault="0030167A" w:rsidP="0030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BE1BE6" w14:textId="77777777" w:rsidR="0030167A" w:rsidRPr="009033E7" w:rsidRDefault="0030167A" w:rsidP="009033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09835E" w14:textId="01F67563" w:rsidR="00257E1E" w:rsidRPr="009033E7" w:rsidRDefault="0030167A" w:rsidP="009033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="00257E1E" w:rsidRPr="009033E7">
        <w:rPr>
          <w:rFonts w:ascii="Times New Roman" w:hAnsi="Times New Roman" w:cs="Times New Roman"/>
          <w:sz w:val="28"/>
          <w:szCs w:val="28"/>
          <w:lang w:val="uk-UA"/>
        </w:rPr>
        <w:t xml:space="preserve">Надходження та використання коштів НСЗУ наведено у Додатку 8 (Аналіз реалізації програми медичних гарантій: перелік пакетів медичних послуг та суми фінансування, на які укладені договори з Національною службою здоров’я України, аналіз причин зменшення фінансування ЗОЗ за Програмою медичних гарантій. </w:t>
      </w:r>
      <w:r w:rsidR="00DB23B5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257E1E" w:rsidRPr="009033E7">
        <w:rPr>
          <w:rFonts w:ascii="Times New Roman" w:hAnsi="Times New Roman" w:cs="Times New Roman"/>
          <w:sz w:val="28"/>
          <w:szCs w:val="28"/>
          <w:lang w:val="uk-UA"/>
        </w:rPr>
        <w:t>ляхи вирішення ситуації).</w:t>
      </w:r>
    </w:p>
    <w:p w14:paraId="0B2B1514" w14:textId="670201E6" w:rsidR="00257E1E" w:rsidRPr="0030167A" w:rsidRDefault="0030167A" w:rsidP="003016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57E1E" w:rsidRPr="009033E7">
        <w:rPr>
          <w:rFonts w:ascii="Times New Roman" w:hAnsi="Times New Roman" w:cs="Times New Roman"/>
          <w:sz w:val="28"/>
          <w:szCs w:val="28"/>
          <w:lang w:val="uk-UA"/>
        </w:rPr>
        <w:t>Фонд благодійних коштів станом на 01.08.2020 року становить 554 тис. грн.</w:t>
      </w:r>
    </w:p>
    <w:p w14:paraId="05B3EE22" w14:textId="3420243A" w:rsidR="00257E1E" w:rsidRPr="001737DE" w:rsidRDefault="009033E7" w:rsidP="008D6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З</w:t>
      </w:r>
      <w:r w:rsidR="00257E1E" w:rsidRPr="00257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рахунок коштів спеціального фонду проведено закупівлю товарно-матеріальних цінностей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оплачено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7E1E" w:rsidRPr="00257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отриманні послуги на загальну суму 584,13 тис. гривень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2018 році</w:t>
      </w:r>
      <w:r w:rsidR="00257E1E" w:rsidRPr="00257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57E1E" w:rsidRPr="00257E1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257E1E" w:rsidRPr="00257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рахунок коштів спеціального фонду проведено закупівлю товарно-матеріальних цінностей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оплачено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7E1E" w:rsidRPr="00257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отриманні послуги на загальну суму 4084,81 тис. гривень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2019 році</w:t>
      </w:r>
      <w:r w:rsidR="00257E1E" w:rsidRPr="00257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1AD9332" w14:textId="77777777" w:rsidR="001737DE" w:rsidRPr="001737DE" w:rsidRDefault="001737DE" w:rsidP="008D6DB0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F4C42C" w14:textId="127FF197" w:rsidR="001737DE" w:rsidRDefault="001737DE" w:rsidP="008D6DB0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забезпечення можливості здійснення непередбачуваних видатків по КНП «ЦПМКДД», що не мають постійного характеру і не могли бути передбаченні при формування фінансового плану, наказом директора КНП «ЦПМКДД» від 09.01.2020 №15 затверджено Положення про Резервний фонд (капітал) КНП «ЦПМКДД», відповідно до якого визначено порядок утворення резервного фонду (капіталу), напрями використання коштів резервного фонду, і встановлення процедури, пов’язані з виділенням коштів резервного фонду та звітування про їх використання.</w:t>
      </w:r>
    </w:p>
    <w:p w14:paraId="5163F363" w14:textId="027D0C63" w:rsidR="0030167A" w:rsidRDefault="0030167A" w:rsidP="008D6DB0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118B21" w14:textId="77777777" w:rsidR="0030167A" w:rsidRPr="00D262E5" w:rsidRDefault="0030167A" w:rsidP="003016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62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Система оплати праці на КНП «ЦПМКДД»</w:t>
      </w:r>
    </w:p>
    <w:p w14:paraId="4D134F06" w14:textId="77777777" w:rsidR="0030167A" w:rsidRPr="00D262E5" w:rsidRDefault="0030167A" w:rsidP="0030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CB7171" w14:textId="77777777" w:rsidR="0030167A" w:rsidRPr="00D262E5" w:rsidRDefault="0030167A" w:rsidP="0030167A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Виплата заробітної плати всім працівникам КНП «ЦПМКДД» впродовж серпня-вересня 2018 року здійснювалась за рахунок коштів медичної субвенції, а впродовж жовтня-грудня 2018 року та 2019 року - працівникам первинної ланки за рахунок коштів НСЗУ, а працівникам вторинної ланки – за рахунок медичної субвенції.</w:t>
      </w:r>
    </w:p>
    <w:p w14:paraId="2FCBFB35" w14:textId="77777777" w:rsidR="0030167A" w:rsidRPr="00D262E5" w:rsidRDefault="0030167A" w:rsidP="0030167A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70DD2C" w14:textId="77777777" w:rsidR="0030167A" w:rsidRPr="00D262E5" w:rsidRDefault="0030167A" w:rsidP="0030167A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Система та умови оплати праці працівників КНП «ЦПМКДД» за жовтень 2018 року проводилась на підставі Положення про систему та умови оплати праці працівників, які надають первинну медичну допомогу населенню в КНП «ЦПМКДД», затвердженим Додатком №1 до наказу №140 від 30.10.2018 по КНП «ЦПМКДД». Відповідно до зазначеного Положення на підприємстві запроваджено індивідуальну форму організації та оплати праці. Так, структуру заробітної плати складали основна заробітна плата, яка складається з посадового окладу, встановленого працівникам відповідно до штатного розкладу – мінімальний посадовий оклад (тарифна ставка) встановлюється у розмірі не менше, ніж прожитковий мінімум для працездатних осіб на 1 січня календарного року (ст.96 КЗпП) і кваліфікаційної категорії медичного працівника, а також додаткової заробітної плати, яку </w:t>
      </w:r>
      <w:r w:rsidRPr="00D26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складали надбавки, доплати, гарантійні і компенсаційні виплати за: суміщення професій (посад); виконання обов’язків тимчасово-відсутніх працівників (у разі хвороби, перебування у відпустці, з інших причин) – до 50 % посадового окладу відсутнього працівника; роботу із шкідливими та важкими умовами праці; використання у роботі </w:t>
      </w:r>
      <w:proofErr w:type="spellStart"/>
      <w:r w:rsidRPr="00D26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дезінфікувальних</w:t>
      </w:r>
      <w:proofErr w:type="spellEnd"/>
      <w:r w:rsidRPr="00D26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засобів; високу професійну майстерність; високі досягнення в праці; відсоткову частку від нормативу укладених декларацій між лікарем і пацієнтом (норматив: терапевт - 2000 декларацій, педіатр - 900 декларацій, лікар загальної практики сімейної медицини – 1800 декларацій). До 25% від нормативу укладених декларацій надбавка не нараховується (терапевт - до 500 декларацій, педіатр- до 225 декларацій, лікар загальної практики сімейної медицини – до 450 декларацій). Від 25% до 100% від нормативу укладених декларацій, надбавка нараховується у відповідному відсотковому співвідношенні від встановленого окладу. Заробітна плата медичних сестер, які надають первинну медичну допомогу населенню нараховується з урахуванням частки укладених декларацій лікарем, з яким працює медична сестра. Заробітна плата іншого медичного персоналу, які надають первинну медичну допомогу населенню в КНП «ЦПМКДД» нараховується без посилання на урахування кількості укладених декларацій. У разі досягнення нормативного ліміту укладення декларацій усіма спеціалістами, для підвищення матеріальної зацікавленості працівників у поліпшенні індивідуальних результатів та результатів діяльності структурних підрозділів в цілому, будуть застосовуватись щодо кожного працівника первинної ланки медичної допомоги індивідуально індикатори якості надання медичної допомоги, які затверджуються окремим наказом в КНП «ЦПМКДД» за погодженням з Управлінням охорони здоров’я Івано-Франківської міської ради.</w:t>
      </w:r>
    </w:p>
    <w:p w14:paraId="67E1AE4F" w14:textId="77777777" w:rsidR="0030167A" w:rsidRPr="00D262E5" w:rsidRDefault="0030167A" w:rsidP="0030167A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Система та умови оплати праці працівників КНП «ЦПМКДД» за листопад-грудень 2018 року та 2019 рік проводилась на підставі </w:t>
      </w:r>
      <w:bookmarkStart w:id="1" w:name="_Hlk43722870"/>
      <w:r w:rsidRPr="00D26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нової редакції Положення про систему та умови оплати праці працівників, які надають первинну медичну допомогу населенню в КНП «ЦПМКДД», затвердженого Наказом №191 від 27.11.2018. Положенням передбачено, що в КНП «ЦПМКДД» застосовується безтарифна система оплати праці, основна заробітна плата складає відсоткову частку від нормативу укладених декларацій між лікарем і пацієнтом (норматив: терапевт - 2000 декларацій, педіатр – 900 декларацій, лікар загальної практики сімейної медицини – 1800 декларацій). Таким чином, заробітна плата лікаря, що надає первинну медичну допомогу населенню в КНП «ЦПМКДД» нараховується з урахуванням частки укладених декларацій в розмірі 25% від загальної суми. Заробітна плата медичних сестер, які надають первинну медичну допомогу населенню нараховується з урахуванням частки укладених декларацій лікарем, з яким працює медична сестра, в розмірі 15% від загальної суми.  Заробітна плата іншого медичного персоналу, який надає первинну медичну допомогу населенню в КНП «ЦПМКДД», нараховується без посилання на урахування кількості  укладених декларацій по підприємству. Крім того, зазначеним Положенням передбачено виплату додаткової заробітної плати: </w:t>
      </w:r>
    </w:p>
    <w:p w14:paraId="57E8F7EC" w14:textId="77777777" w:rsidR="0030167A" w:rsidRPr="00D262E5" w:rsidRDefault="0030167A" w:rsidP="0030167A">
      <w:pPr>
        <w:numPr>
          <w:ilvl w:val="0"/>
          <w:numId w:val="1"/>
        </w:numPr>
        <w:tabs>
          <w:tab w:val="left" w:pos="1134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надбавок, доплат, гарантійних і компенсаційних виплат за: суміщення професій (посад), напруженість і складність в роботі, роботу із шкідливими та важкими умовами праці, використання у роботі </w:t>
      </w:r>
      <w:proofErr w:type="spellStart"/>
      <w:r w:rsidRPr="00D26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дезінфікувальних</w:t>
      </w:r>
      <w:proofErr w:type="spellEnd"/>
      <w:r w:rsidRPr="00D26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засобів, високу професійну майстерність та високі досягнення у праці);</w:t>
      </w:r>
    </w:p>
    <w:p w14:paraId="1F7BEFCE" w14:textId="77777777" w:rsidR="0030167A" w:rsidRPr="00D262E5" w:rsidRDefault="0030167A" w:rsidP="0030167A">
      <w:pPr>
        <w:numPr>
          <w:ilvl w:val="0"/>
          <w:numId w:val="1"/>
        </w:numPr>
        <w:tabs>
          <w:tab w:val="left" w:pos="1134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262E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премії та винагороди, згідно Положення про преміювання працівників КНП «ЦПМКДД» за виконання виробничих завдань та функцій (за наявності фонду преміювання);</w:t>
      </w:r>
    </w:p>
    <w:p w14:paraId="70AB67DB" w14:textId="77777777" w:rsidR="0030167A" w:rsidRPr="00D262E5" w:rsidRDefault="0030167A" w:rsidP="0030167A">
      <w:pPr>
        <w:numPr>
          <w:ilvl w:val="0"/>
          <w:numId w:val="1"/>
        </w:numPr>
        <w:tabs>
          <w:tab w:val="left" w:pos="1134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262E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оплата роботи в надурочний час і у святкові та неробочі дні – у розмірах та за розцінками, установленими чинним законодавством.</w:t>
      </w:r>
    </w:p>
    <w:bookmarkEnd w:id="1"/>
    <w:p w14:paraId="7ABC3B56" w14:textId="77777777" w:rsidR="0030167A" w:rsidRPr="00D262E5" w:rsidRDefault="0030167A" w:rsidP="00301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Впродовж жовтня-грудня 2018 року 92,2% заробітної плати лікарів, які надають первинну медичну допомогу (сімейних лікарів, терапевтів та педіатрів) складала основна заробітна плата, яка нараховувалася з урахуванням частки укладених декларацій в розмірі 25% від загальної суми, 6,6% - додаткова заробітна плата (надбавка за суміщення професій (посад), напруженість і складність в роботі, роботу із шкідливими та важкими умовами праці, використання в роботі </w:t>
      </w:r>
      <w:proofErr w:type="spellStart"/>
      <w:r w:rsidRPr="00D26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дезінфікувальних</w:t>
      </w:r>
      <w:proofErr w:type="spellEnd"/>
      <w:r w:rsidRPr="00D26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засобів; високу професійну майстерність, премії та винагороди за виконання виробничих завдань і функцій тощо)та 1,2% у структурі заробітної плати складали заохочувальні і компенсаційні виплати, що мають одноразовий характер.</w:t>
      </w:r>
    </w:p>
    <w:p w14:paraId="21BF5D22" w14:textId="77777777" w:rsidR="0030167A" w:rsidRDefault="0030167A" w:rsidP="0030167A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14:paraId="4564AF6D" w14:textId="77777777" w:rsidR="0030167A" w:rsidRPr="00347C48" w:rsidRDefault="0030167A" w:rsidP="0030167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347C4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Середня заробітна плата працівників КНП «ЦПМКДД»</w:t>
      </w:r>
    </w:p>
    <w:p w14:paraId="42AACCC7" w14:textId="77777777" w:rsidR="0030167A" w:rsidRPr="00DB3ABD" w:rsidRDefault="0030167A" w:rsidP="0030167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-496" w:type="dxa"/>
        <w:tblLook w:val="04A0" w:firstRow="1" w:lastRow="0" w:firstColumn="1" w:lastColumn="0" w:noHBand="0" w:noVBand="1"/>
      </w:tblPr>
      <w:tblGrid>
        <w:gridCol w:w="1418"/>
        <w:gridCol w:w="1298"/>
        <w:gridCol w:w="24"/>
        <w:gridCol w:w="1116"/>
        <w:gridCol w:w="1197"/>
        <w:gridCol w:w="1197"/>
        <w:gridCol w:w="1197"/>
        <w:gridCol w:w="1197"/>
        <w:gridCol w:w="1197"/>
      </w:tblGrid>
      <w:tr w:rsidR="0030167A" w:rsidRPr="00DB3ABD" w14:paraId="3774C365" w14:textId="77777777" w:rsidTr="00C07EE1">
        <w:tc>
          <w:tcPr>
            <w:tcW w:w="1353" w:type="dxa"/>
            <w:shd w:val="clear" w:color="auto" w:fill="auto"/>
          </w:tcPr>
          <w:p w14:paraId="2D7EC284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Первинна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медична </w:t>
            </w:r>
            <w:r w:rsidRPr="00DB3A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допомога</w:t>
            </w:r>
          </w:p>
        </w:tc>
        <w:tc>
          <w:tcPr>
            <w:tcW w:w="1423" w:type="dxa"/>
            <w:gridSpan w:val="2"/>
          </w:tcPr>
          <w:p w14:paraId="72F8FBB8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B3A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01.09.2018</w:t>
            </w:r>
          </w:p>
        </w:tc>
        <w:tc>
          <w:tcPr>
            <w:tcW w:w="1116" w:type="dxa"/>
          </w:tcPr>
          <w:p w14:paraId="54DDC3C5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B3A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01.10.2018</w:t>
            </w:r>
          </w:p>
          <w:p w14:paraId="5AAC3535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35" w:type="dxa"/>
          </w:tcPr>
          <w:p w14:paraId="1B820786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B3A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01.11.2018</w:t>
            </w:r>
          </w:p>
          <w:p w14:paraId="66676E47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35" w:type="dxa"/>
          </w:tcPr>
          <w:p w14:paraId="28FE8864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B3A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01.01.2019</w:t>
            </w:r>
          </w:p>
          <w:p w14:paraId="47C31BB3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35" w:type="dxa"/>
          </w:tcPr>
          <w:p w14:paraId="230A84C9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B3A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01.05.2019</w:t>
            </w:r>
          </w:p>
        </w:tc>
        <w:tc>
          <w:tcPr>
            <w:tcW w:w="1235" w:type="dxa"/>
          </w:tcPr>
          <w:p w14:paraId="6594D5EE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B3A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01.02.2020</w:t>
            </w:r>
          </w:p>
          <w:p w14:paraId="19DFED2C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35" w:type="dxa"/>
          </w:tcPr>
          <w:p w14:paraId="3E9A5F11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B3A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01.05.2020</w:t>
            </w:r>
          </w:p>
          <w:p w14:paraId="433DDDDA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0167A" w:rsidRPr="00DB3ABD" w14:paraId="1AB99B4E" w14:textId="77777777" w:rsidTr="00C07EE1">
        <w:tc>
          <w:tcPr>
            <w:tcW w:w="1353" w:type="dxa"/>
            <w:shd w:val="clear" w:color="auto" w:fill="auto"/>
          </w:tcPr>
          <w:p w14:paraId="1578D34F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23" w:type="dxa"/>
            <w:gridSpan w:val="2"/>
          </w:tcPr>
          <w:p w14:paraId="574F3A77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3358</w:t>
            </w:r>
          </w:p>
        </w:tc>
        <w:tc>
          <w:tcPr>
            <w:tcW w:w="1116" w:type="dxa"/>
          </w:tcPr>
          <w:p w14:paraId="1582CCFC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4242</w:t>
            </w:r>
          </w:p>
        </w:tc>
        <w:tc>
          <w:tcPr>
            <w:tcW w:w="1235" w:type="dxa"/>
          </w:tcPr>
          <w:p w14:paraId="55FEACA6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5349</w:t>
            </w:r>
          </w:p>
        </w:tc>
        <w:tc>
          <w:tcPr>
            <w:tcW w:w="1235" w:type="dxa"/>
          </w:tcPr>
          <w:p w14:paraId="263232A0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6466,2</w:t>
            </w:r>
          </w:p>
        </w:tc>
        <w:tc>
          <w:tcPr>
            <w:tcW w:w="1235" w:type="dxa"/>
          </w:tcPr>
          <w:p w14:paraId="6ECCE130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8355,8</w:t>
            </w:r>
          </w:p>
        </w:tc>
        <w:tc>
          <w:tcPr>
            <w:tcW w:w="1235" w:type="dxa"/>
          </w:tcPr>
          <w:p w14:paraId="44E7F010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8953,83</w:t>
            </w:r>
          </w:p>
        </w:tc>
        <w:tc>
          <w:tcPr>
            <w:tcW w:w="1235" w:type="dxa"/>
          </w:tcPr>
          <w:p w14:paraId="10F178F2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8833,58</w:t>
            </w:r>
          </w:p>
        </w:tc>
      </w:tr>
      <w:tr w:rsidR="0030167A" w:rsidRPr="00DB3ABD" w14:paraId="25ACB819" w14:textId="77777777" w:rsidTr="00C07EE1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353" w:type="dxa"/>
          </w:tcPr>
          <w:p w14:paraId="5D87CC70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Лікарі</w:t>
            </w:r>
          </w:p>
        </w:tc>
        <w:tc>
          <w:tcPr>
            <w:tcW w:w="1390" w:type="dxa"/>
            <w:shd w:val="clear" w:color="auto" w:fill="auto"/>
          </w:tcPr>
          <w:p w14:paraId="3DBABB01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6135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3FA4F8CB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7120</w:t>
            </w:r>
          </w:p>
        </w:tc>
        <w:tc>
          <w:tcPr>
            <w:tcW w:w="1235" w:type="dxa"/>
            <w:shd w:val="clear" w:color="auto" w:fill="auto"/>
          </w:tcPr>
          <w:p w14:paraId="36E95F02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7034</w:t>
            </w:r>
          </w:p>
        </w:tc>
        <w:tc>
          <w:tcPr>
            <w:tcW w:w="1235" w:type="dxa"/>
            <w:shd w:val="clear" w:color="auto" w:fill="auto"/>
          </w:tcPr>
          <w:p w14:paraId="31EEB2B5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7671,9</w:t>
            </w:r>
          </w:p>
        </w:tc>
        <w:tc>
          <w:tcPr>
            <w:tcW w:w="1235" w:type="dxa"/>
            <w:shd w:val="clear" w:color="auto" w:fill="auto"/>
          </w:tcPr>
          <w:p w14:paraId="2D4AA192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11565,2</w:t>
            </w:r>
          </w:p>
        </w:tc>
        <w:tc>
          <w:tcPr>
            <w:tcW w:w="1235" w:type="dxa"/>
            <w:shd w:val="clear" w:color="auto" w:fill="auto"/>
          </w:tcPr>
          <w:p w14:paraId="23253362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12462,31</w:t>
            </w:r>
          </w:p>
        </w:tc>
        <w:tc>
          <w:tcPr>
            <w:tcW w:w="1235" w:type="dxa"/>
            <w:shd w:val="clear" w:color="auto" w:fill="auto"/>
          </w:tcPr>
          <w:p w14:paraId="65310C2B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12020,15</w:t>
            </w:r>
          </w:p>
        </w:tc>
      </w:tr>
      <w:tr w:rsidR="0030167A" w:rsidRPr="00DB3ABD" w14:paraId="3B1C3B24" w14:textId="77777777" w:rsidTr="00C07EE1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353" w:type="dxa"/>
          </w:tcPr>
          <w:p w14:paraId="6E1F4ED4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Середній персонал</w:t>
            </w:r>
          </w:p>
        </w:tc>
        <w:tc>
          <w:tcPr>
            <w:tcW w:w="1390" w:type="dxa"/>
            <w:shd w:val="clear" w:color="auto" w:fill="auto"/>
          </w:tcPr>
          <w:p w14:paraId="421FFA40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4515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5FD03DFE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4650</w:t>
            </w:r>
          </w:p>
        </w:tc>
        <w:tc>
          <w:tcPr>
            <w:tcW w:w="1235" w:type="dxa"/>
            <w:shd w:val="clear" w:color="auto" w:fill="auto"/>
          </w:tcPr>
          <w:p w14:paraId="52E723D2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4709</w:t>
            </w:r>
          </w:p>
        </w:tc>
        <w:tc>
          <w:tcPr>
            <w:tcW w:w="1235" w:type="dxa"/>
            <w:shd w:val="clear" w:color="auto" w:fill="auto"/>
          </w:tcPr>
          <w:p w14:paraId="0856145F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5955,5</w:t>
            </w:r>
          </w:p>
        </w:tc>
        <w:tc>
          <w:tcPr>
            <w:tcW w:w="1235" w:type="dxa"/>
            <w:shd w:val="clear" w:color="auto" w:fill="auto"/>
          </w:tcPr>
          <w:p w14:paraId="69583542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6497</w:t>
            </w:r>
          </w:p>
        </w:tc>
        <w:tc>
          <w:tcPr>
            <w:tcW w:w="1235" w:type="dxa"/>
            <w:shd w:val="clear" w:color="auto" w:fill="auto"/>
          </w:tcPr>
          <w:p w14:paraId="78002061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6977,71</w:t>
            </w:r>
          </w:p>
        </w:tc>
        <w:tc>
          <w:tcPr>
            <w:tcW w:w="1235" w:type="dxa"/>
            <w:shd w:val="clear" w:color="auto" w:fill="auto"/>
          </w:tcPr>
          <w:p w14:paraId="37E72FA9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7082,25</w:t>
            </w:r>
          </w:p>
        </w:tc>
      </w:tr>
      <w:tr w:rsidR="0030167A" w:rsidRPr="00DB3ABD" w14:paraId="796CACCB" w14:textId="77777777" w:rsidTr="00C07EE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353" w:type="dxa"/>
          </w:tcPr>
          <w:p w14:paraId="45159843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Молодший персонал</w:t>
            </w:r>
          </w:p>
        </w:tc>
        <w:tc>
          <w:tcPr>
            <w:tcW w:w="1390" w:type="dxa"/>
            <w:shd w:val="clear" w:color="auto" w:fill="auto"/>
          </w:tcPr>
          <w:p w14:paraId="687F276A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4982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71180EFB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4126</w:t>
            </w:r>
          </w:p>
        </w:tc>
        <w:tc>
          <w:tcPr>
            <w:tcW w:w="1235" w:type="dxa"/>
            <w:shd w:val="clear" w:color="auto" w:fill="auto"/>
          </w:tcPr>
          <w:p w14:paraId="4303AE97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3033</w:t>
            </w:r>
          </w:p>
        </w:tc>
        <w:tc>
          <w:tcPr>
            <w:tcW w:w="1235" w:type="dxa"/>
            <w:shd w:val="clear" w:color="auto" w:fill="auto"/>
          </w:tcPr>
          <w:p w14:paraId="7F4DB6FC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4932,5</w:t>
            </w:r>
          </w:p>
        </w:tc>
        <w:tc>
          <w:tcPr>
            <w:tcW w:w="1235" w:type="dxa"/>
            <w:shd w:val="clear" w:color="auto" w:fill="auto"/>
          </w:tcPr>
          <w:p w14:paraId="6371E379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4692,6</w:t>
            </w:r>
          </w:p>
        </w:tc>
        <w:tc>
          <w:tcPr>
            <w:tcW w:w="1235" w:type="dxa"/>
            <w:shd w:val="clear" w:color="auto" w:fill="auto"/>
          </w:tcPr>
          <w:p w14:paraId="23307199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4849,86</w:t>
            </w:r>
          </w:p>
        </w:tc>
        <w:tc>
          <w:tcPr>
            <w:tcW w:w="1235" w:type="dxa"/>
            <w:shd w:val="clear" w:color="auto" w:fill="auto"/>
          </w:tcPr>
          <w:p w14:paraId="1482CFDA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4310,53</w:t>
            </w:r>
          </w:p>
        </w:tc>
      </w:tr>
      <w:tr w:rsidR="0030167A" w:rsidRPr="00DB3ABD" w14:paraId="72D2B9C2" w14:textId="77777777" w:rsidTr="00C07EE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353" w:type="dxa"/>
          </w:tcPr>
          <w:p w14:paraId="592DD657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1390" w:type="dxa"/>
            <w:shd w:val="clear" w:color="auto" w:fill="auto"/>
          </w:tcPr>
          <w:p w14:paraId="4E84A557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4150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51C7DD5C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3516</w:t>
            </w:r>
          </w:p>
        </w:tc>
        <w:tc>
          <w:tcPr>
            <w:tcW w:w="1235" w:type="dxa"/>
            <w:shd w:val="clear" w:color="auto" w:fill="auto"/>
          </w:tcPr>
          <w:p w14:paraId="7B83FBB1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3185</w:t>
            </w:r>
          </w:p>
        </w:tc>
        <w:tc>
          <w:tcPr>
            <w:tcW w:w="1235" w:type="dxa"/>
            <w:shd w:val="clear" w:color="auto" w:fill="auto"/>
          </w:tcPr>
          <w:p w14:paraId="115BBD60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5129,6</w:t>
            </w:r>
          </w:p>
        </w:tc>
        <w:tc>
          <w:tcPr>
            <w:tcW w:w="1235" w:type="dxa"/>
            <w:shd w:val="clear" w:color="auto" w:fill="auto"/>
          </w:tcPr>
          <w:p w14:paraId="077CB9F6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6896,3</w:t>
            </w:r>
          </w:p>
        </w:tc>
        <w:tc>
          <w:tcPr>
            <w:tcW w:w="1235" w:type="dxa"/>
            <w:shd w:val="clear" w:color="auto" w:fill="auto"/>
          </w:tcPr>
          <w:p w14:paraId="56F6BAAD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6185,25</w:t>
            </w:r>
          </w:p>
        </w:tc>
        <w:tc>
          <w:tcPr>
            <w:tcW w:w="1235" w:type="dxa"/>
            <w:shd w:val="clear" w:color="auto" w:fill="auto"/>
          </w:tcPr>
          <w:p w14:paraId="52647469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7089,36</w:t>
            </w:r>
          </w:p>
        </w:tc>
      </w:tr>
    </w:tbl>
    <w:p w14:paraId="192D2A9C" w14:textId="69C9454B" w:rsidR="0030167A" w:rsidRDefault="0030167A" w:rsidP="0030167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9743C17" w14:textId="2B322323" w:rsidR="0030167A" w:rsidRDefault="0030167A" w:rsidP="0030167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D7AB4F4" w14:textId="530FB178" w:rsidR="0030167A" w:rsidRDefault="0030167A" w:rsidP="0030167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C181C11" w14:textId="77777777" w:rsidR="00DB23B5" w:rsidRDefault="00DB23B5" w:rsidP="0030167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BCA822D" w14:textId="22F10165" w:rsidR="0030167A" w:rsidRDefault="0030167A" w:rsidP="0030167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2CF3BB6" w14:textId="77777777" w:rsidR="0030167A" w:rsidRDefault="0030167A" w:rsidP="0030167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4C86222" w14:textId="32BAA02C" w:rsidR="0030167A" w:rsidRDefault="0030167A" w:rsidP="0030167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Діаграма 3</w:t>
      </w:r>
    </w:p>
    <w:p w14:paraId="4669ACC9" w14:textId="77777777" w:rsidR="0030167A" w:rsidRDefault="0030167A" w:rsidP="0030167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7C48">
        <w:rPr>
          <w:rFonts w:ascii="Times New Roman" w:hAnsi="Times New Roman" w:cs="Times New Roman"/>
          <w:noProof/>
          <w:sz w:val="24"/>
          <w:szCs w:val="24"/>
          <w:shd w:val="clear" w:color="auto" w:fill="B8CCE4" w:themeFill="accent1" w:themeFillTint="66"/>
          <w:lang w:val="uk-UA" w:eastAsia="uk-UA"/>
        </w:rPr>
        <w:drawing>
          <wp:inline distT="0" distB="0" distL="0" distR="0" wp14:anchorId="57396702" wp14:editId="50318CC5">
            <wp:extent cx="5486400" cy="55626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F166D5D" w14:textId="77777777" w:rsidR="0030167A" w:rsidRDefault="0030167A" w:rsidP="0030167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A6E7A86" w14:textId="77777777" w:rsidR="0030167A" w:rsidRDefault="0030167A" w:rsidP="0030167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B5F5C8A" w14:textId="77777777" w:rsidR="0030167A" w:rsidRPr="00DB3ABD" w:rsidRDefault="0030167A" w:rsidP="0030167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-496" w:type="dxa"/>
        <w:tblLook w:val="04A0" w:firstRow="1" w:lastRow="0" w:firstColumn="1" w:lastColumn="0" w:noHBand="0" w:noVBand="1"/>
      </w:tblPr>
      <w:tblGrid>
        <w:gridCol w:w="1434"/>
        <w:gridCol w:w="1187"/>
        <w:gridCol w:w="6"/>
        <w:gridCol w:w="1206"/>
        <w:gridCol w:w="1201"/>
        <w:gridCol w:w="1201"/>
        <w:gridCol w:w="1201"/>
        <w:gridCol w:w="1201"/>
        <w:gridCol w:w="1204"/>
      </w:tblGrid>
      <w:tr w:rsidR="0030167A" w:rsidRPr="00DB3ABD" w14:paraId="21A35454" w14:textId="77777777" w:rsidTr="00C07EE1">
        <w:tc>
          <w:tcPr>
            <w:tcW w:w="1438" w:type="dxa"/>
            <w:shd w:val="clear" w:color="auto" w:fill="auto"/>
          </w:tcPr>
          <w:p w14:paraId="146E0FB3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Вторинна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медична </w:t>
            </w:r>
            <w:r w:rsidRPr="00DB3A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допомога</w:t>
            </w:r>
          </w:p>
        </w:tc>
        <w:tc>
          <w:tcPr>
            <w:tcW w:w="1221" w:type="dxa"/>
            <w:gridSpan w:val="2"/>
          </w:tcPr>
          <w:p w14:paraId="5D5CF95A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B3A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01.09.2018</w:t>
            </w:r>
          </w:p>
        </w:tc>
        <w:tc>
          <w:tcPr>
            <w:tcW w:w="1239" w:type="dxa"/>
          </w:tcPr>
          <w:p w14:paraId="52D6DBCB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B3A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01.10.2018</w:t>
            </w:r>
          </w:p>
          <w:p w14:paraId="17BADC61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14:paraId="76A542B6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B3A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01.11.2018</w:t>
            </w:r>
          </w:p>
          <w:p w14:paraId="3CFD3947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14:paraId="598B27B1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B3A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01.01.2019</w:t>
            </w:r>
          </w:p>
          <w:p w14:paraId="4A7E9568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33" w:type="dxa"/>
          </w:tcPr>
          <w:p w14:paraId="75368408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B3A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01.05.2019</w:t>
            </w:r>
          </w:p>
        </w:tc>
        <w:tc>
          <w:tcPr>
            <w:tcW w:w="1233" w:type="dxa"/>
          </w:tcPr>
          <w:p w14:paraId="47740B29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B3A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01.02.2020</w:t>
            </w:r>
          </w:p>
          <w:p w14:paraId="49DCFF3B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37" w:type="dxa"/>
          </w:tcPr>
          <w:p w14:paraId="3E386462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B3A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01.05.2020</w:t>
            </w:r>
          </w:p>
          <w:p w14:paraId="146FD74D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0167A" w:rsidRPr="00DB3ABD" w14:paraId="24A92EE3" w14:textId="77777777" w:rsidTr="00C07EE1">
        <w:tc>
          <w:tcPr>
            <w:tcW w:w="1438" w:type="dxa"/>
            <w:shd w:val="clear" w:color="auto" w:fill="auto"/>
          </w:tcPr>
          <w:p w14:paraId="11E6EC91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21" w:type="dxa"/>
            <w:gridSpan w:val="2"/>
          </w:tcPr>
          <w:p w14:paraId="630E262E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3650</w:t>
            </w:r>
          </w:p>
        </w:tc>
        <w:tc>
          <w:tcPr>
            <w:tcW w:w="1239" w:type="dxa"/>
          </w:tcPr>
          <w:p w14:paraId="30DB92B2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4400</w:t>
            </w:r>
          </w:p>
        </w:tc>
        <w:tc>
          <w:tcPr>
            <w:tcW w:w="1233" w:type="dxa"/>
          </w:tcPr>
          <w:p w14:paraId="72978449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4418</w:t>
            </w:r>
          </w:p>
        </w:tc>
        <w:tc>
          <w:tcPr>
            <w:tcW w:w="1233" w:type="dxa"/>
          </w:tcPr>
          <w:p w14:paraId="39BAEB9E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4595,3</w:t>
            </w:r>
          </w:p>
        </w:tc>
        <w:tc>
          <w:tcPr>
            <w:tcW w:w="1233" w:type="dxa"/>
          </w:tcPr>
          <w:p w14:paraId="52EDD30E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4984,4</w:t>
            </w:r>
          </w:p>
        </w:tc>
        <w:tc>
          <w:tcPr>
            <w:tcW w:w="1233" w:type="dxa"/>
          </w:tcPr>
          <w:p w14:paraId="08C6A4F1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5190,76</w:t>
            </w:r>
          </w:p>
        </w:tc>
        <w:tc>
          <w:tcPr>
            <w:tcW w:w="1237" w:type="dxa"/>
          </w:tcPr>
          <w:p w14:paraId="47B277C2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3192,79</w:t>
            </w:r>
          </w:p>
        </w:tc>
      </w:tr>
      <w:tr w:rsidR="0030167A" w:rsidRPr="00DB3ABD" w14:paraId="28678E27" w14:textId="77777777" w:rsidTr="00C07EE1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438" w:type="dxa"/>
          </w:tcPr>
          <w:p w14:paraId="0978730A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Лікарі</w:t>
            </w:r>
          </w:p>
        </w:tc>
        <w:tc>
          <w:tcPr>
            <w:tcW w:w="1215" w:type="dxa"/>
            <w:shd w:val="clear" w:color="auto" w:fill="auto"/>
          </w:tcPr>
          <w:p w14:paraId="6CE1FF6D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4311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3510ECAA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3778</w:t>
            </w:r>
          </w:p>
        </w:tc>
        <w:tc>
          <w:tcPr>
            <w:tcW w:w="1233" w:type="dxa"/>
            <w:shd w:val="clear" w:color="auto" w:fill="auto"/>
          </w:tcPr>
          <w:p w14:paraId="6553F72B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5843</w:t>
            </w:r>
          </w:p>
        </w:tc>
        <w:tc>
          <w:tcPr>
            <w:tcW w:w="1233" w:type="dxa"/>
            <w:shd w:val="clear" w:color="auto" w:fill="auto"/>
          </w:tcPr>
          <w:p w14:paraId="613E1C6A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7182,9</w:t>
            </w:r>
          </w:p>
        </w:tc>
        <w:tc>
          <w:tcPr>
            <w:tcW w:w="1233" w:type="dxa"/>
            <w:shd w:val="clear" w:color="auto" w:fill="auto"/>
          </w:tcPr>
          <w:p w14:paraId="26D4E8A6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5983,2</w:t>
            </w:r>
          </w:p>
        </w:tc>
        <w:tc>
          <w:tcPr>
            <w:tcW w:w="1233" w:type="dxa"/>
            <w:shd w:val="clear" w:color="auto" w:fill="auto"/>
          </w:tcPr>
          <w:p w14:paraId="50EDEF7C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5991,49</w:t>
            </w:r>
          </w:p>
        </w:tc>
        <w:tc>
          <w:tcPr>
            <w:tcW w:w="1237" w:type="dxa"/>
            <w:shd w:val="clear" w:color="auto" w:fill="auto"/>
          </w:tcPr>
          <w:p w14:paraId="53095751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3415,8</w:t>
            </w:r>
          </w:p>
        </w:tc>
      </w:tr>
      <w:tr w:rsidR="0030167A" w:rsidRPr="00DB3ABD" w14:paraId="46E9D1D7" w14:textId="77777777" w:rsidTr="00C07EE1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438" w:type="dxa"/>
          </w:tcPr>
          <w:p w14:paraId="27C52BD6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Середній персонал</w:t>
            </w:r>
          </w:p>
        </w:tc>
        <w:tc>
          <w:tcPr>
            <w:tcW w:w="1215" w:type="dxa"/>
            <w:shd w:val="clear" w:color="auto" w:fill="auto"/>
          </w:tcPr>
          <w:p w14:paraId="522F7706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3030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01F6098F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3014</w:t>
            </w:r>
          </w:p>
        </w:tc>
        <w:tc>
          <w:tcPr>
            <w:tcW w:w="1233" w:type="dxa"/>
            <w:shd w:val="clear" w:color="auto" w:fill="auto"/>
          </w:tcPr>
          <w:p w14:paraId="56D96766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3964</w:t>
            </w:r>
          </w:p>
        </w:tc>
        <w:tc>
          <w:tcPr>
            <w:tcW w:w="1233" w:type="dxa"/>
            <w:shd w:val="clear" w:color="auto" w:fill="auto"/>
          </w:tcPr>
          <w:p w14:paraId="6D609397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4224,8</w:t>
            </w:r>
          </w:p>
        </w:tc>
        <w:tc>
          <w:tcPr>
            <w:tcW w:w="1233" w:type="dxa"/>
            <w:shd w:val="clear" w:color="auto" w:fill="auto"/>
          </w:tcPr>
          <w:p w14:paraId="2D0AE90A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4458,6</w:t>
            </w:r>
          </w:p>
        </w:tc>
        <w:tc>
          <w:tcPr>
            <w:tcW w:w="1233" w:type="dxa"/>
            <w:shd w:val="clear" w:color="auto" w:fill="auto"/>
          </w:tcPr>
          <w:p w14:paraId="169AEEBD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4882,64</w:t>
            </w:r>
          </w:p>
        </w:tc>
        <w:tc>
          <w:tcPr>
            <w:tcW w:w="1237" w:type="dxa"/>
            <w:shd w:val="clear" w:color="auto" w:fill="auto"/>
          </w:tcPr>
          <w:p w14:paraId="50C594C9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2779,63</w:t>
            </w:r>
          </w:p>
        </w:tc>
      </w:tr>
      <w:tr w:rsidR="0030167A" w:rsidRPr="00DB3ABD" w14:paraId="13D6719F" w14:textId="77777777" w:rsidTr="00C07EE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38" w:type="dxa"/>
          </w:tcPr>
          <w:p w14:paraId="1323F163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Молодший персонал</w:t>
            </w:r>
          </w:p>
        </w:tc>
        <w:tc>
          <w:tcPr>
            <w:tcW w:w="1215" w:type="dxa"/>
            <w:shd w:val="clear" w:color="auto" w:fill="auto"/>
          </w:tcPr>
          <w:p w14:paraId="64F012FE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4600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691584AB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3126</w:t>
            </w:r>
          </w:p>
        </w:tc>
        <w:tc>
          <w:tcPr>
            <w:tcW w:w="1233" w:type="dxa"/>
            <w:shd w:val="clear" w:color="auto" w:fill="auto"/>
          </w:tcPr>
          <w:p w14:paraId="798F919F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2825</w:t>
            </w:r>
          </w:p>
        </w:tc>
        <w:tc>
          <w:tcPr>
            <w:tcW w:w="1233" w:type="dxa"/>
            <w:shd w:val="clear" w:color="auto" w:fill="auto"/>
          </w:tcPr>
          <w:p w14:paraId="13D28A7C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4282,5</w:t>
            </w:r>
          </w:p>
        </w:tc>
        <w:tc>
          <w:tcPr>
            <w:tcW w:w="1233" w:type="dxa"/>
            <w:shd w:val="clear" w:color="auto" w:fill="auto"/>
          </w:tcPr>
          <w:p w14:paraId="0F176522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4664,2</w:t>
            </w:r>
          </w:p>
        </w:tc>
        <w:tc>
          <w:tcPr>
            <w:tcW w:w="1233" w:type="dxa"/>
            <w:shd w:val="clear" w:color="auto" w:fill="auto"/>
          </w:tcPr>
          <w:p w14:paraId="0F8F71AB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5139,72</w:t>
            </w:r>
          </w:p>
        </w:tc>
        <w:tc>
          <w:tcPr>
            <w:tcW w:w="1237" w:type="dxa"/>
            <w:shd w:val="clear" w:color="auto" w:fill="auto"/>
          </w:tcPr>
          <w:p w14:paraId="0D0855F6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3559,54</w:t>
            </w:r>
          </w:p>
        </w:tc>
      </w:tr>
      <w:tr w:rsidR="0030167A" w:rsidRPr="00DB3ABD" w14:paraId="276D15EC" w14:textId="77777777" w:rsidTr="00C07EE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438" w:type="dxa"/>
          </w:tcPr>
          <w:p w14:paraId="24D19D88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1215" w:type="dxa"/>
            <w:shd w:val="clear" w:color="auto" w:fill="auto"/>
          </w:tcPr>
          <w:p w14:paraId="189529CC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4535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2D714436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3672</w:t>
            </w:r>
          </w:p>
        </w:tc>
        <w:tc>
          <w:tcPr>
            <w:tcW w:w="1233" w:type="dxa"/>
            <w:shd w:val="clear" w:color="auto" w:fill="auto"/>
          </w:tcPr>
          <w:p w14:paraId="6D52A1EF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4350</w:t>
            </w:r>
          </w:p>
        </w:tc>
        <w:tc>
          <w:tcPr>
            <w:tcW w:w="1233" w:type="dxa"/>
            <w:shd w:val="clear" w:color="auto" w:fill="auto"/>
          </w:tcPr>
          <w:p w14:paraId="161B3142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4567,9</w:t>
            </w:r>
          </w:p>
        </w:tc>
        <w:tc>
          <w:tcPr>
            <w:tcW w:w="1233" w:type="dxa"/>
            <w:shd w:val="clear" w:color="auto" w:fill="auto"/>
          </w:tcPr>
          <w:p w14:paraId="2C3D65F4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4970,7</w:t>
            </w:r>
          </w:p>
        </w:tc>
        <w:tc>
          <w:tcPr>
            <w:tcW w:w="1233" w:type="dxa"/>
            <w:shd w:val="clear" w:color="auto" w:fill="auto"/>
          </w:tcPr>
          <w:p w14:paraId="4A7D053A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4777,46</w:t>
            </w:r>
          </w:p>
        </w:tc>
        <w:tc>
          <w:tcPr>
            <w:tcW w:w="1237" w:type="dxa"/>
            <w:shd w:val="clear" w:color="auto" w:fill="auto"/>
          </w:tcPr>
          <w:p w14:paraId="393E55C4" w14:textId="77777777" w:rsidR="0030167A" w:rsidRPr="00DB3ABD" w:rsidRDefault="0030167A" w:rsidP="00C07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3895,24</w:t>
            </w:r>
          </w:p>
        </w:tc>
      </w:tr>
    </w:tbl>
    <w:p w14:paraId="1EEED0C8" w14:textId="3C9F8A8E" w:rsidR="0030167A" w:rsidRDefault="0030167A" w:rsidP="0030167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F9349DE" w14:textId="45A4462F" w:rsidR="0030167A" w:rsidRDefault="0030167A" w:rsidP="0030167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Діаграма 4</w:t>
      </w:r>
    </w:p>
    <w:p w14:paraId="4ACC5E86" w14:textId="77777777" w:rsidR="0030167A" w:rsidRDefault="0030167A" w:rsidP="0030167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17F241A1" wp14:editId="43CC6BB8">
            <wp:extent cx="5486400" cy="608076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531AAA" w14:textId="77777777" w:rsidR="0030167A" w:rsidRDefault="0030167A" w:rsidP="0030167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832B963" w14:textId="4A254846" w:rsidR="0030167A" w:rsidRDefault="0030167A" w:rsidP="0030167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3527F0C" w14:textId="5EE0AC20" w:rsidR="0030167A" w:rsidRDefault="0030167A" w:rsidP="0030167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C382D60" w14:textId="4231AF57" w:rsidR="0030167A" w:rsidRDefault="0030167A" w:rsidP="0030167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7207300" w14:textId="02E88B0A" w:rsidR="0030167A" w:rsidRDefault="0030167A" w:rsidP="0030167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E2AAF6A" w14:textId="36983281" w:rsidR="0030167A" w:rsidRDefault="0030167A" w:rsidP="0030167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7D643CD" w14:textId="41F3C725" w:rsidR="0030167A" w:rsidRDefault="0030167A" w:rsidP="0030167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02BAEB5" w14:textId="66DA2E8B" w:rsidR="0030167A" w:rsidRDefault="0030167A" w:rsidP="0030167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9BA86BA" w14:textId="3A360F82" w:rsidR="0030167A" w:rsidRDefault="0030167A" w:rsidP="0030167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Діаграма 5</w:t>
      </w:r>
    </w:p>
    <w:p w14:paraId="6CFEC555" w14:textId="77777777" w:rsidR="0030167A" w:rsidRDefault="0030167A" w:rsidP="0030167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144D4E75" wp14:editId="74C7A575">
            <wp:extent cx="5486400" cy="726186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E84CE33" w14:textId="77777777" w:rsidR="0030167A" w:rsidRDefault="0030167A" w:rsidP="0030167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7E779AD" w14:textId="77777777" w:rsidR="0030167A" w:rsidRPr="00B83E15" w:rsidRDefault="0030167A" w:rsidP="003016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B83E15">
        <w:rPr>
          <w:rFonts w:ascii="Times New Roman" w:hAnsi="Times New Roman" w:cs="Times New Roman"/>
          <w:sz w:val="28"/>
          <w:szCs w:val="28"/>
          <w:lang w:val="uk-UA"/>
        </w:rPr>
        <w:t xml:space="preserve">Отже, середня </w:t>
      </w:r>
      <w:proofErr w:type="spellStart"/>
      <w:r w:rsidRPr="00B83E15">
        <w:rPr>
          <w:rFonts w:ascii="Times New Roman" w:hAnsi="Times New Roman" w:cs="Times New Roman"/>
          <w:sz w:val="28"/>
          <w:szCs w:val="28"/>
          <w:lang w:val="uk-UA"/>
        </w:rPr>
        <w:t>заробітня</w:t>
      </w:r>
      <w:proofErr w:type="spellEnd"/>
      <w:r w:rsidRPr="00B83E15">
        <w:rPr>
          <w:rFonts w:ascii="Times New Roman" w:hAnsi="Times New Roman" w:cs="Times New Roman"/>
          <w:sz w:val="28"/>
          <w:szCs w:val="28"/>
          <w:lang w:val="uk-UA"/>
        </w:rPr>
        <w:t xml:space="preserve"> плата лікаря первинної ланки після реформування зросла на 51%, максимальна на 74%. По аналогії зросла і заробітна плата середнього медичного персоналу, адже робота побудована на бригадному принципі.</w:t>
      </w:r>
      <w:r w:rsidRPr="004E73ED">
        <w:rPr>
          <w:lang w:val="uk-UA"/>
        </w:rPr>
        <w:t xml:space="preserve"> </w:t>
      </w:r>
      <w:r w:rsidRPr="004E73ED">
        <w:rPr>
          <w:rFonts w:ascii="Times New Roman" w:hAnsi="Times New Roman" w:cs="Times New Roman"/>
          <w:sz w:val="28"/>
          <w:szCs w:val="28"/>
          <w:lang w:val="uk-UA"/>
        </w:rPr>
        <w:t>Тобто,</w:t>
      </w:r>
      <w:r>
        <w:rPr>
          <w:lang w:val="uk-UA"/>
        </w:rPr>
        <w:t xml:space="preserve"> </w:t>
      </w:r>
      <w:r w:rsidRPr="004E73ED">
        <w:rPr>
          <w:rFonts w:ascii="Times New Roman" w:hAnsi="Times New Roman" w:cs="Times New Roman"/>
          <w:sz w:val="28"/>
          <w:szCs w:val="28"/>
          <w:lang w:val="uk-UA"/>
        </w:rPr>
        <w:t>після укладання договор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E73ED">
        <w:rPr>
          <w:rFonts w:ascii="Times New Roman" w:hAnsi="Times New Roman" w:cs="Times New Roman"/>
          <w:sz w:val="28"/>
          <w:szCs w:val="28"/>
          <w:lang w:val="uk-UA"/>
        </w:rPr>
        <w:t xml:space="preserve"> з НСЗУ розмір середньої заробітної плати лікарів, які надають первинну медичну допомогу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3ED">
        <w:rPr>
          <w:rFonts w:ascii="Times New Roman" w:hAnsi="Times New Roman" w:cs="Times New Roman"/>
          <w:sz w:val="28"/>
          <w:szCs w:val="28"/>
          <w:lang w:val="uk-UA"/>
        </w:rPr>
        <w:lastRenderedPageBreak/>
        <w:t>(сімейних лікарів, терапевтів та педіатрів)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3ED">
        <w:rPr>
          <w:rFonts w:ascii="Times New Roman" w:hAnsi="Times New Roman" w:cs="Times New Roman"/>
          <w:sz w:val="28"/>
          <w:szCs w:val="28"/>
          <w:lang w:val="uk-UA"/>
        </w:rPr>
        <w:t>зріс більш, ніж удвічі, а саме – на 110,62 %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впродовж 2018 року</w:t>
      </w:r>
      <w:r w:rsidRPr="004E73ED">
        <w:rPr>
          <w:rFonts w:ascii="Times New Roman" w:hAnsi="Times New Roman" w:cs="Times New Roman"/>
          <w:sz w:val="28"/>
          <w:szCs w:val="28"/>
          <w:lang w:val="uk-UA"/>
        </w:rPr>
        <w:t>, а впродовж 2019 року ще на 13,61%</w:t>
      </w:r>
      <w:r>
        <w:rPr>
          <w:rFonts w:ascii="Times New Roman" w:hAnsi="Times New Roman" w:cs="Times New Roman"/>
          <w:sz w:val="28"/>
          <w:szCs w:val="28"/>
          <w:lang w:val="uk-UA"/>
        </w:rPr>
        <w:t>; р</w:t>
      </w:r>
      <w:r w:rsidRPr="004E73ED">
        <w:rPr>
          <w:rFonts w:ascii="Times New Roman" w:hAnsi="Times New Roman" w:cs="Times New Roman"/>
          <w:sz w:val="28"/>
          <w:szCs w:val="28"/>
          <w:lang w:val="uk-UA"/>
        </w:rPr>
        <w:t>озмір середньої заробітної плати медичних сестер первинної ланки зріс на 83,87%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впродовж 2018 року</w:t>
      </w:r>
      <w:r w:rsidRPr="004E73ED">
        <w:rPr>
          <w:rFonts w:ascii="Times New Roman" w:hAnsi="Times New Roman" w:cs="Times New Roman"/>
          <w:sz w:val="28"/>
          <w:szCs w:val="28"/>
          <w:lang w:val="uk-UA"/>
        </w:rPr>
        <w:t>, а впродовж 2019 року ще на 18,24%.</w:t>
      </w:r>
    </w:p>
    <w:p w14:paraId="0633EB7F" w14:textId="77777777" w:rsidR="0030167A" w:rsidRPr="00B83E15" w:rsidRDefault="0030167A" w:rsidP="003016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B83E15">
        <w:rPr>
          <w:rFonts w:ascii="Times New Roman" w:hAnsi="Times New Roman" w:cs="Times New Roman"/>
          <w:sz w:val="28"/>
          <w:szCs w:val="28"/>
          <w:lang w:val="uk-UA"/>
        </w:rPr>
        <w:t xml:space="preserve">Середня заробітна плата лікаря вторинної ланки після реформування зменшилась на 26%.  По аналогії зменшилась і заробітна плата середнього медичного персоналу. </w:t>
      </w:r>
      <w:bookmarkStart w:id="2" w:name="_Hlk47966012"/>
      <w:r w:rsidRPr="00B83E15">
        <w:rPr>
          <w:rFonts w:ascii="Times New Roman" w:hAnsi="Times New Roman" w:cs="Times New Roman"/>
          <w:sz w:val="28"/>
          <w:szCs w:val="28"/>
          <w:lang w:val="uk-UA"/>
        </w:rPr>
        <w:t xml:space="preserve">На виплату місячного фонду заробітної плати (в розмірі мінімальної соціальної гарантії) в квітні 2020 року Підприємству з отриманих коштів від НСЗУ не вистачило 1 млн. 400тис. грн. Проаналізувавши ситуацію, було розроблено та затверджено вимушений Антикризовий план, який включав скорочення зовнішніх сумісників, скорочення посад на 0.25 зайнятості, скорочення посад, які є нерентабельними (завідуючі відділеннями, старші медичні сестри і </w:t>
      </w:r>
      <w:proofErr w:type="spellStart"/>
      <w:r w:rsidRPr="00B83E15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Pr="00B83E15">
        <w:rPr>
          <w:rFonts w:ascii="Times New Roman" w:hAnsi="Times New Roman" w:cs="Times New Roman"/>
          <w:sz w:val="28"/>
          <w:szCs w:val="28"/>
          <w:lang w:val="uk-UA"/>
        </w:rPr>
        <w:t>.), скорочення посад, які вичерпали свою необхідність (медичні статистики, медичні ре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83E15">
        <w:rPr>
          <w:rFonts w:ascii="Times New Roman" w:hAnsi="Times New Roman" w:cs="Times New Roman"/>
          <w:sz w:val="28"/>
          <w:szCs w:val="28"/>
          <w:lang w:val="uk-UA"/>
        </w:rPr>
        <w:t xml:space="preserve">стратори-через автоматизацію процесів та занадто роздуті штатні одиниці даного напрямку). Антикризовий план (який закономірно породжує велику соціальну напругу в колективі) в дію поки не вдалось впровадити, так як законодавство забороняє скорочення посад в період карантину. На основі масового перебування працівників Підприємства у відпустках за власний рахунок на час карантинних обмежень, звільнення окремих працівників за власним бажанням через страх захворіти на </w:t>
      </w:r>
      <w:proofErr w:type="spellStart"/>
      <w:r w:rsidRPr="00B83E15">
        <w:rPr>
          <w:rFonts w:ascii="Times New Roman" w:hAnsi="Times New Roman" w:cs="Times New Roman"/>
          <w:sz w:val="28"/>
          <w:szCs w:val="28"/>
          <w:lang w:val="uk-UA"/>
        </w:rPr>
        <w:t>коронавірусну</w:t>
      </w:r>
      <w:proofErr w:type="spellEnd"/>
      <w:r w:rsidRPr="00B83E15">
        <w:rPr>
          <w:rFonts w:ascii="Times New Roman" w:hAnsi="Times New Roman" w:cs="Times New Roman"/>
          <w:sz w:val="28"/>
          <w:szCs w:val="28"/>
          <w:lang w:val="uk-UA"/>
        </w:rPr>
        <w:t xml:space="preserve"> інфекцію, було досягнуто певної економії коштів, що дозволило виплатити мінімальну </w:t>
      </w:r>
      <w:proofErr w:type="spellStart"/>
      <w:r w:rsidRPr="00B83E15">
        <w:rPr>
          <w:rFonts w:ascii="Times New Roman" w:hAnsi="Times New Roman" w:cs="Times New Roman"/>
          <w:sz w:val="28"/>
          <w:szCs w:val="28"/>
          <w:lang w:val="uk-UA"/>
        </w:rPr>
        <w:t>заробітню</w:t>
      </w:r>
      <w:proofErr w:type="spellEnd"/>
      <w:r w:rsidRPr="00B83E15">
        <w:rPr>
          <w:rFonts w:ascii="Times New Roman" w:hAnsi="Times New Roman" w:cs="Times New Roman"/>
          <w:sz w:val="28"/>
          <w:szCs w:val="28"/>
          <w:lang w:val="uk-UA"/>
        </w:rPr>
        <w:t xml:space="preserve"> плату без додаткових асигнувань. Проте, під час адаптивних карантинних обмежень, працівники Підприємства почали повертатись на робочі місця, що спричинило дефіцит у липні 2020 року 300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3E15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83E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B83E15">
        <w:rPr>
          <w:rFonts w:ascii="Times New Roman" w:hAnsi="Times New Roman" w:cs="Times New Roman"/>
          <w:sz w:val="28"/>
          <w:szCs w:val="28"/>
          <w:lang w:val="uk-UA"/>
        </w:rPr>
        <w:t>рн. на виплату мінімальної заробітної плати. Дефіцит був компенсований за рахунок спецфонду, який не наповняється власне через карантин. Органи місцевого самоврядування не в змозі виділяти додаткові кошти на доплати через дефіцит місцевого бюджету.</w:t>
      </w:r>
      <w:bookmarkEnd w:id="2"/>
    </w:p>
    <w:p w14:paraId="10DE0E2D" w14:textId="46FDC9A4" w:rsidR="0030167A" w:rsidRDefault="0030167A" w:rsidP="003016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B83E15">
        <w:rPr>
          <w:rFonts w:ascii="Times New Roman" w:hAnsi="Times New Roman" w:cs="Times New Roman"/>
          <w:sz w:val="28"/>
          <w:szCs w:val="28"/>
          <w:lang w:val="uk-UA"/>
        </w:rPr>
        <w:t xml:space="preserve">Окремо варто зазначити, що </w:t>
      </w:r>
      <w:bookmarkStart w:id="3" w:name="_Hlk47957860"/>
      <w:r w:rsidRPr="00B83E15">
        <w:rPr>
          <w:rFonts w:ascii="Times New Roman" w:hAnsi="Times New Roman" w:cs="Times New Roman"/>
          <w:sz w:val="28"/>
          <w:szCs w:val="28"/>
          <w:lang w:val="uk-UA"/>
        </w:rPr>
        <w:t>дисонанс заробітної плати між первинною та вторинною ланками після впровадження реформи за д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83E15">
        <w:rPr>
          <w:rFonts w:ascii="Times New Roman" w:hAnsi="Times New Roman" w:cs="Times New Roman"/>
          <w:sz w:val="28"/>
          <w:szCs w:val="28"/>
          <w:lang w:val="uk-UA"/>
        </w:rPr>
        <w:t>ома напрямками, складає від 72% (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середньо</w:t>
      </w:r>
      <w:r w:rsidRPr="00B83E15">
        <w:rPr>
          <w:rFonts w:ascii="Times New Roman" w:hAnsi="Times New Roman" w:cs="Times New Roman"/>
          <w:sz w:val="28"/>
          <w:szCs w:val="28"/>
          <w:lang w:val="uk-UA"/>
        </w:rPr>
        <w:t xml:space="preserve">) до 86% (максимально)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бік вищої заробітної плати лікаря первинної ланки </w:t>
      </w:r>
      <w:r w:rsidRPr="00B83E15">
        <w:rPr>
          <w:rFonts w:ascii="Times New Roman" w:hAnsi="Times New Roman" w:cs="Times New Roman"/>
          <w:sz w:val="28"/>
          <w:szCs w:val="28"/>
          <w:lang w:val="uk-UA"/>
        </w:rPr>
        <w:t>і є абсолютно неприпустимим фактом.</w:t>
      </w:r>
      <w:bookmarkEnd w:id="3"/>
    </w:p>
    <w:p w14:paraId="112D6323" w14:textId="31F960C5" w:rsidR="0030167A" w:rsidRDefault="0030167A" w:rsidP="003016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02221C" w14:textId="77777777" w:rsidR="001D1627" w:rsidRDefault="001D1627" w:rsidP="003016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B22526" w14:textId="77777777" w:rsidR="0030167A" w:rsidRPr="00EB6D64" w:rsidRDefault="0030167A" w:rsidP="003016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D2A02D" w14:textId="77777777" w:rsidR="0030167A" w:rsidRPr="00347C48" w:rsidRDefault="0030167A" w:rsidP="0030167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47C4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Додаткова заробітна плата</w:t>
      </w:r>
    </w:p>
    <w:p w14:paraId="7857B14A" w14:textId="77777777" w:rsidR="0030167A" w:rsidRPr="00DB3ABD" w:rsidRDefault="0030167A" w:rsidP="003016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bookmarkStart w:id="4" w:name="_Hlk47965773"/>
      <w:r w:rsidRPr="00DB3ABD">
        <w:rPr>
          <w:rFonts w:ascii="Times New Roman" w:hAnsi="Times New Roman" w:cs="Times New Roman"/>
          <w:sz w:val="28"/>
          <w:szCs w:val="28"/>
          <w:lang w:val="uk-UA"/>
        </w:rPr>
        <w:t xml:space="preserve">23 працівники КНП «ЦПМКДД» починаючи з 01 квітня 2020 року щомісяця отримують доплату за програмою медичних гарантій «Медична допомога, яка надається мобільними медичними бригадами, що створені для реагування на </w:t>
      </w:r>
      <w:proofErr w:type="spellStart"/>
      <w:r w:rsidRPr="00DB3ABD">
        <w:rPr>
          <w:rFonts w:ascii="Times New Roman" w:hAnsi="Times New Roman" w:cs="Times New Roman"/>
          <w:sz w:val="28"/>
          <w:szCs w:val="28"/>
          <w:lang w:val="uk-UA"/>
        </w:rPr>
        <w:t>коронавірусну</w:t>
      </w:r>
      <w:proofErr w:type="spellEnd"/>
      <w:r w:rsidRPr="00DB3ABD">
        <w:rPr>
          <w:rFonts w:ascii="Times New Roman" w:hAnsi="Times New Roman" w:cs="Times New Roman"/>
          <w:sz w:val="28"/>
          <w:szCs w:val="28"/>
          <w:lang w:val="uk-UA"/>
        </w:rPr>
        <w:t xml:space="preserve"> хворобу (COVID-19)» в розмірі 300% на суму 46487,76, де 2021,21 припадає на одного працівника на місяць. На залишкові 5 тис. грн. закуповуються розхідні матеріали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4"/>
    </w:p>
    <w:p w14:paraId="1250E944" w14:textId="77777777" w:rsidR="0030167A" w:rsidRPr="001737DE" w:rsidRDefault="0030167A" w:rsidP="008D6DB0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95FFA6" w14:textId="77777777" w:rsidR="001737DE" w:rsidRPr="001737DE" w:rsidRDefault="001737DE">
      <w:pPr>
        <w:rPr>
          <w:lang w:val="uk-UA"/>
        </w:rPr>
      </w:pPr>
    </w:p>
    <w:sectPr w:rsidR="001737DE" w:rsidRPr="001737DE" w:rsidSect="00A0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62D09"/>
    <w:multiLevelType w:val="hybridMultilevel"/>
    <w:tmpl w:val="FFE6CD7C"/>
    <w:lvl w:ilvl="0" w:tplc="A7C80C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C"/>
    <w:rsid w:val="00147320"/>
    <w:rsid w:val="001737DE"/>
    <w:rsid w:val="001D1627"/>
    <w:rsid w:val="00257E1E"/>
    <w:rsid w:val="0030167A"/>
    <w:rsid w:val="00431C6C"/>
    <w:rsid w:val="005B5920"/>
    <w:rsid w:val="00805212"/>
    <w:rsid w:val="008D6DB0"/>
    <w:rsid w:val="009033E7"/>
    <w:rsid w:val="009865C1"/>
    <w:rsid w:val="00A021A3"/>
    <w:rsid w:val="00DB23B5"/>
    <w:rsid w:val="00E8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CA47"/>
  <w15:docId w15:val="{E258181A-D5ED-440F-9AF8-61A17702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86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Розподіл коштів за 2018 рік</a:t>
            </a:r>
          </a:p>
        </c:rich>
      </c:tx>
      <c:overlay val="0"/>
      <c:spPr>
        <a:solidFill>
          <a:schemeClr val="accent6">
            <a:lumMod val="60000"/>
            <a:lumOff val="4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2DF-4557-91AD-A6F3C6609C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2DF-4557-91AD-A6F3C6609CC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2DF-4557-91AD-A6F3C6609CC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2DF-4557-91AD-A6F3C6609CC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2DF-4557-91AD-A6F3C6609CC1}"/>
              </c:ext>
            </c:extLst>
          </c:dPt>
          <c:cat>
            <c:strRef>
              <c:f>Лист1!$A$2:$A$6</c:f>
              <c:strCache>
                <c:ptCount val="5"/>
                <c:pt idx="0">
                  <c:v>субвенція</c:v>
                </c:pt>
                <c:pt idx="1">
                  <c:v>кошти місцевого бюджету</c:v>
                </c:pt>
                <c:pt idx="2">
                  <c:v>кошти НСЗУ</c:v>
                </c:pt>
                <c:pt idx="3">
                  <c:v>благодійна допомога</c:v>
                </c:pt>
                <c:pt idx="4">
                  <c:v>спецфонд</c:v>
                </c:pt>
              </c:strCache>
            </c:strRef>
          </c:cat>
          <c:val>
            <c:numRef>
              <c:f>Лист1!$B$2:$B$6</c:f>
              <c:numCache>
                <c:formatCode>d\-mmm</c:formatCode>
                <c:ptCount val="5"/>
                <c:pt idx="0">
                  <c:v>12</c:v>
                </c:pt>
                <c:pt idx="1">
                  <c:v>16</c:v>
                </c:pt>
                <c:pt idx="2">
                  <c:v>23</c:v>
                </c:pt>
                <c:pt idx="3" formatCode="General">
                  <c:v>0.9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E1-458D-A820-2057C164CA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977653834937297"/>
          <c:y val="0.78953295443942761"/>
          <c:w val="0.80294674103237096"/>
          <c:h val="0.192799190286685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Розподіл коштів за 2019 рік</a:t>
            </a:r>
          </a:p>
        </c:rich>
      </c:tx>
      <c:overlay val="0"/>
      <c:spPr>
        <a:solidFill>
          <a:schemeClr val="accent6">
            <a:lumMod val="60000"/>
            <a:lumOff val="4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38B-4F61-8676-C716AA5DED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38B-4F61-8676-C716AA5DED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38B-4F61-8676-C716AA5DED9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38B-4F61-8676-C716AA5DED9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38B-4F61-8676-C716AA5DED9C}"/>
              </c:ext>
            </c:extLst>
          </c:dPt>
          <c:cat>
            <c:strRef>
              <c:f>Лист1!$A$2:$A$6</c:f>
              <c:strCache>
                <c:ptCount val="5"/>
                <c:pt idx="0">
                  <c:v>субвенція</c:v>
                </c:pt>
                <c:pt idx="1">
                  <c:v>кошти місцевого бюджету</c:v>
                </c:pt>
                <c:pt idx="2">
                  <c:v>кошти НСЗУ</c:v>
                </c:pt>
                <c:pt idx="3">
                  <c:v>благодійна допомога</c:v>
                </c:pt>
                <c:pt idx="4">
                  <c:v>спецфонд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7</c:v>
                </c:pt>
                <c:pt idx="2">
                  <c:v>117</c:v>
                </c:pt>
                <c:pt idx="3">
                  <c:v>0.2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8A-4090-BCD0-F64B7CFC33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Динаміка рівня середньої заробітної плати працівників первинної медичної допомоги від початку реформування галузі по поточний час</a:t>
            </a:r>
          </a:p>
        </c:rich>
      </c:tx>
      <c:layout>
        <c:manualLayout>
          <c:xMode val="edge"/>
          <c:yMode val="edge"/>
          <c:x val="3.8188611840186633E-2"/>
          <c:y val="2.261352604896991E-2"/>
        </c:manualLayout>
      </c:layout>
      <c:overlay val="0"/>
      <c:spPr>
        <a:solidFill>
          <a:schemeClr val="accent3">
            <a:lumMod val="60000"/>
            <a:lumOff val="4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Вер.18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лікарі</c:v>
                </c:pt>
                <c:pt idx="1">
                  <c:v>середній медичний персонал</c:v>
                </c:pt>
                <c:pt idx="2">
                  <c:v>молодший медичний пресонал</c:v>
                </c:pt>
                <c:pt idx="3">
                  <c:v>інші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6135</c:v>
                </c:pt>
                <c:pt idx="1">
                  <c:v>4515</c:v>
                </c:pt>
                <c:pt idx="2">
                  <c:v>4982</c:v>
                </c:pt>
                <c:pt idx="3">
                  <c:v>4150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73-44D3-888A-9094C921CB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Жов.18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лікарі</c:v>
                </c:pt>
                <c:pt idx="1">
                  <c:v>середній медичний персонал</c:v>
                </c:pt>
                <c:pt idx="2">
                  <c:v>молодший медичний пресонал</c:v>
                </c:pt>
                <c:pt idx="3">
                  <c:v>інші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7120</c:v>
                </c:pt>
                <c:pt idx="1">
                  <c:v>4650</c:v>
                </c:pt>
                <c:pt idx="2">
                  <c:v>4126</c:v>
                </c:pt>
                <c:pt idx="3">
                  <c:v>3516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73-44D3-888A-9094C921CBA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Лис.18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лікарі</c:v>
                </c:pt>
                <c:pt idx="1">
                  <c:v>середній медичний персонал</c:v>
                </c:pt>
                <c:pt idx="2">
                  <c:v>молодший медичний пресонал</c:v>
                </c:pt>
                <c:pt idx="3">
                  <c:v>інші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7034</c:v>
                </c:pt>
                <c:pt idx="1">
                  <c:v>4709</c:v>
                </c:pt>
                <c:pt idx="2">
                  <c:v>3033</c:v>
                </c:pt>
                <c:pt idx="3">
                  <c:v>3185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73-44D3-888A-9094C921CBA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Січ.19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лікарі</c:v>
                </c:pt>
                <c:pt idx="1">
                  <c:v>середній медичний персонал</c:v>
                </c:pt>
                <c:pt idx="2">
                  <c:v>молодший медичний пресонал</c:v>
                </c:pt>
                <c:pt idx="3">
                  <c:v>інші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7671</c:v>
                </c:pt>
                <c:pt idx="1">
                  <c:v>5955</c:v>
                </c:pt>
                <c:pt idx="2">
                  <c:v>4932</c:v>
                </c:pt>
                <c:pt idx="3">
                  <c:v>5129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373-44D3-888A-9094C921CBA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Тра.19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лікарі</c:v>
                </c:pt>
                <c:pt idx="1">
                  <c:v>середній медичний персонал</c:v>
                </c:pt>
                <c:pt idx="2">
                  <c:v>молодший медичний пресонал</c:v>
                </c:pt>
                <c:pt idx="3">
                  <c:v>інші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11565</c:v>
                </c:pt>
                <c:pt idx="1">
                  <c:v>6497</c:v>
                </c:pt>
                <c:pt idx="2">
                  <c:v>4692</c:v>
                </c:pt>
                <c:pt idx="3">
                  <c:v>6896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373-44D3-888A-9094C921CBA1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Лют.20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лікарі</c:v>
                </c:pt>
                <c:pt idx="1">
                  <c:v>середній медичний персонал</c:v>
                </c:pt>
                <c:pt idx="2">
                  <c:v>молодший медичний пресонал</c:v>
                </c:pt>
                <c:pt idx="3">
                  <c:v>інші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12462</c:v>
                </c:pt>
                <c:pt idx="1">
                  <c:v>6977</c:v>
                </c:pt>
                <c:pt idx="2">
                  <c:v>4849</c:v>
                </c:pt>
                <c:pt idx="3">
                  <c:v>6185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373-44D3-888A-9094C921CBA1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Тра.20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лікарі</c:v>
                </c:pt>
                <c:pt idx="1">
                  <c:v>середній медичний персонал</c:v>
                </c:pt>
                <c:pt idx="2">
                  <c:v>молодший медичний пресонал</c:v>
                </c:pt>
                <c:pt idx="3">
                  <c:v>інші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12020</c:v>
                </c:pt>
                <c:pt idx="1">
                  <c:v>7082</c:v>
                </c:pt>
                <c:pt idx="2">
                  <c:v>4319</c:v>
                </c:pt>
                <c:pt idx="3">
                  <c:v>7089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373-44D3-888A-9094C921CBA1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максимальна ЗП категорії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лікарі</c:v>
                </c:pt>
                <c:pt idx="1">
                  <c:v>середній медичний персонал</c:v>
                </c:pt>
                <c:pt idx="2">
                  <c:v>молодший медичний пресонал</c:v>
                </c:pt>
                <c:pt idx="3">
                  <c:v>інші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23000</c:v>
                </c:pt>
                <c:pt idx="1">
                  <c:v>12000</c:v>
                </c:pt>
                <c:pt idx="2">
                  <c:v>4849</c:v>
                </c:pt>
                <c:pt idx="3">
                  <c:v>7500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373-44D3-888A-9094C921CB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2364400"/>
        <c:axId val="362367024"/>
      </c:barChart>
      <c:catAx>
        <c:axId val="36236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62367024"/>
        <c:crosses val="autoZero"/>
        <c:auto val="1"/>
        <c:lblAlgn val="ctr"/>
        <c:lblOffset val="100"/>
        <c:noMultiLvlLbl val="0"/>
      </c:catAx>
      <c:valAx>
        <c:axId val="36236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623644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Динаміка середньої заробітньої плати працівників</a:t>
            </a:r>
            <a:r>
              <a:rPr lang="ru-RU" sz="14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вторинної медчної допомоги з 2018 року по даний час, з урахування початку реформування ланки</a:t>
            </a:r>
            <a:endPara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solidFill>
          <a:schemeClr val="accent3">
            <a:lumMod val="60000"/>
            <a:lumOff val="4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вресень 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лікарі</c:v>
                </c:pt>
                <c:pt idx="1">
                  <c:v>середній медичний персонал</c:v>
                </c:pt>
                <c:pt idx="2">
                  <c:v>молодший медичний персонал</c:v>
                </c:pt>
                <c:pt idx="3">
                  <c:v>інші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4311</c:v>
                </c:pt>
                <c:pt idx="1">
                  <c:v>3030</c:v>
                </c:pt>
                <c:pt idx="2">
                  <c:v>4600</c:v>
                </c:pt>
                <c:pt idx="3">
                  <c:v>4535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BE-4DF4-9C20-DC834018EB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Жов.18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лікарі</c:v>
                </c:pt>
                <c:pt idx="1">
                  <c:v>середній медичний персонал</c:v>
                </c:pt>
                <c:pt idx="2">
                  <c:v>молодший медичний персонал</c:v>
                </c:pt>
                <c:pt idx="3">
                  <c:v>інші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3778</c:v>
                </c:pt>
                <c:pt idx="1">
                  <c:v>3014</c:v>
                </c:pt>
                <c:pt idx="2">
                  <c:v>3126</c:v>
                </c:pt>
                <c:pt idx="3">
                  <c:v>3672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BE-4DF4-9C20-DC834018EB2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Лис.18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лікарі</c:v>
                </c:pt>
                <c:pt idx="1">
                  <c:v>середній медичний персонал</c:v>
                </c:pt>
                <c:pt idx="2">
                  <c:v>молодший медичний персонал</c:v>
                </c:pt>
                <c:pt idx="3">
                  <c:v>інші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5843</c:v>
                </c:pt>
                <c:pt idx="1">
                  <c:v>3964</c:v>
                </c:pt>
                <c:pt idx="2">
                  <c:v>2825</c:v>
                </c:pt>
                <c:pt idx="3">
                  <c:v>4350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BE-4DF4-9C20-DC834018EB2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Січ.19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лікарі</c:v>
                </c:pt>
                <c:pt idx="1">
                  <c:v>середній медичний персонал</c:v>
                </c:pt>
                <c:pt idx="2">
                  <c:v>молодший медичний персонал</c:v>
                </c:pt>
                <c:pt idx="3">
                  <c:v>інші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7182</c:v>
                </c:pt>
                <c:pt idx="1">
                  <c:v>4224</c:v>
                </c:pt>
                <c:pt idx="2">
                  <c:v>4282</c:v>
                </c:pt>
                <c:pt idx="3">
                  <c:v>4567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EBE-4DF4-9C20-DC834018EB2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Тра.19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лікарі</c:v>
                </c:pt>
                <c:pt idx="1">
                  <c:v>середній медичний персонал</c:v>
                </c:pt>
                <c:pt idx="2">
                  <c:v>молодший медичний персонал</c:v>
                </c:pt>
                <c:pt idx="3">
                  <c:v>інші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5983</c:v>
                </c:pt>
                <c:pt idx="1">
                  <c:v>4458</c:v>
                </c:pt>
                <c:pt idx="2">
                  <c:v>4664</c:v>
                </c:pt>
                <c:pt idx="3">
                  <c:v>4970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EBE-4DF4-9C20-DC834018EB2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Лют.20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лікарі</c:v>
                </c:pt>
                <c:pt idx="1">
                  <c:v>середній медичний персонал</c:v>
                </c:pt>
                <c:pt idx="2">
                  <c:v>молодший медичний персонал</c:v>
                </c:pt>
                <c:pt idx="3">
                  <c:v>інші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5991</c:v>
                </c:pt>
                <c:pt idx="1">
                  <c:v>4882</c:v>
                </c:pt>
                <c:pt idx="2">
                  <c:v>5139</c:v>
                </c:pt>
                <c:pt idx="3">
                  <c:v>4777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EBE-4DF4-9C20-DC834018EB29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Тра.20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лікарі</c:v>
                </c:pt>
                <c:pt idx="1">
                  <c:v>середній медичний персонал</c:v>
                </c:pt>
                <c:pt idx="2">
                  <c:v>молодший медичний персонал</c:v>
                </c:pt>
                <c:pt idx="3">
                  <c:v>інші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3415</c:v>
                </c:pt>
                <c:pt idx="1">
                  <c:v>2779</c:v>
                </c:pt>
                <c:pt idx="2">
                  <c:v>3559</c:v>
                </c:pt>
                <c:pt idx="3">
                  <c:v>3895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EBE-4DF4-9C20-DC834018EB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5340928"/>
        <c:axId val="915347488"/>
      </c:barChart>
      <c:catAx>
        <c:axId val="91534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915347488"/>
        <c:crosses val="autoZero"/>
        <c:auto val="1"/>
        <c:lblAlgn val="ctr"/>
        <c:lblOffset val="100"/>
        <c:noMultiLvlLbl val="0"/>
      </c:catAx>
      <c:valAx>
        <c:axId val="915347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9153409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Рівень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середньої заробітної плати лікарського складу у порівнянні первинної і вторинної ланок, в умовах впровадження реформування в обох ланках у повному обсязі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solidFill>
          <a:schemeClr val="accent3">
            <a:lumMod val="60000"/>
            <a:lumOff val="4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Вер.18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лікарі первинної медичної допомоги</c:v>
                </c:pt>
                <c:pt idx="1">
                  <c:v>лікарі вторинної медичної допомоги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6135</c:v>
                </c:pt>
                <c:pt idx="1">
                  <c:v>4311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95-4973-80FF-9F6BACD1C6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Жов.18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лікарі первинної медичної допомоги</c:v>
                </c:pt>
                <c:pt idx="1">
                  <c:v>лікарі вторинної медичної допомоги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7120</c:v>
                </c:pt>
                <c:pt idx="1">
                  <c:v>3778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95-4973-80FF-9F6BACD1C6B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Лис.18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лікарі первинної медичної допомоги</c:v>
                </c:pt>
                <c:pt idx="1">
                  <c:v>лікарі вторинної медичної допомоги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7034</c:v>
                </c:pt>
                <c:pt idx="1">
                  <c:v>5843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95-4973-80FF-9F6BACD1C6B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січеь 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лікарі первинної медичної допомоги</c:v>
                </c:pt>
                <c:pt idx="1">
                  <c:v>лікарі вторинної медичної допомоги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7671</c:v>
                </c:pt>
                <c:pt idx="1">
                  <c:v>7182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395-4973-80FF-9F6BACD1C6B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Тра.19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лікарі первинної медичної допомоги</c:v>
                </c:pt>
                <c:pt idx="1">
                  <c:v>лікарі вторинної медичної допомоги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11565</c:v>
                </c:pt>
                <c:pt idx="1">
                  <c:v>5983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395-4973-80FF-9F6BACD1C6B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Лют.20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лікарі первинної медичної допомоги</c:v>
                </c:pt>
                <c:pt idx="1">
                  <c:v>лікарі вторинної медичної допомоги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12462</c:v>
                </c:pt>
                <c:pt idx="1">
                  <c:v>5991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395-4973-80FF-9F6BACD1C6B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Тра.20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лікарі первинної медичної допомоги</c:v>
                </c:pt>
                <c:pt idx="1">
                  <c:v>лікарі вторинної медичної допомоги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12020</c:v>
                </c:pt>
                <c:pt idx="1">
                  <c:v>3415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395-4973-80FF-9F6BACD1C6BE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максимальна заробітна плата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лікарі первинної медичної допомоги</c:v>
                </c:pt>
                <c:pt idx="1">
                  <c:v>лікарі вторинної медичної допомоги</c:v>
                </c:pt>
              </c:strCache>
            </c:str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23000</c:v>
                </c:pt>
                <c:pt idx="1">
                  <c:v>4500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395-4973-80FF-9F6BACD1C6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9722536"/>
        <c:axId val="639722864"/>
      </c:barChart>
      <c:catAx>
        <c:axId val="639722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39722864"/>
        <c:crosses val="autoZero"/>
        <c:auto val="1"/>
        <c:lblAlgn val="ctr"/>
        <c:lblOffset val="100"/>
        <c:noMultiLvlLbl val="0"/>
      </c:catAx>
      <c:valAx>
        <c:axId val="639722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397225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7775</Words>
  <Characters>4433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Марія</cp:lastModifiedBy>
  <cp:revision>2</cp:revision>
  <cp:lastPrinted>2020-08-27T18:46:00Z</cp:lastPrinted>
  <dcterms:created xsi:type="dcterms:W3CDTF">2020-08-27T18:47:00Z</dcterms:created>
  <dcterms:modified xsi:type="dcterms:W3CDTF">2020-08-27T18:47:00Z</dcterms:modified>
</cp:coreProperties>
</file>