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3B" w:rsidRDefault="00DB103B" w:rsidP="00461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Президенту України</w:t>
      </w:r>
    </w:p>
    <w:p w:rsidR="00DB103B" w:rsidRDefault="00DB103B" w:rsidP="00461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Голові Верховної Ради України</w:t>
      </w:r>
    </w:p>
    <w:p w:rsidR="001D252B" w:rsidRDefault="00DB103B" w:rsidP="00461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Прем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єр-міністру України</w:t>
      </w:r>
    </w:p>
    <w:p w:rsidR="001D252B" w:rsidRPr="001D252B" w:rsidRDefault="001D252B" w:rsidP="00461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1D2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вернення</w:t>
      </w:r>
    </w:p>
    <w:p w:rsidR="001D252B" w:rsidRDefault="001D252B" w:rsidP="00461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D2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Івано-Франківської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:rsidR="00FB227F" w:rsidRDefault="00A6765A" w:rsidP="00461F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 w:rsidR="002C3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невідкладного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вжиття </w:t>
      </w:r>
      <w:r w:rsidRPr="00EC0E8B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0A7777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</w:t>
      </w:r>
      <w:r w:rsidRPr="00EC0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подолання кризових явищ та забезпечення фінансової стабільності на ринку природного газу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765A" w:rsidRDefault="00A6765A" w:rsidP="00461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02005" w:rsidRPr="000A7777" w:rsidRDefault="00FB0B4D" w:rsidP="00461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7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Ми, депутати Івано-Франківської міської ради, представляючи інтереси Івано-Франківської міської територіальної громади, </w:t>
      </w:r>
      <w:r w:rsidR="0099765C" w:rsidRPr="000A7777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звертаємо з нагал</w:t>
      </w:r>
      <w:r w:rsidR="00102005" w:rsidRPr="000A77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ьним питанням щодо вжиття заходів </w:t>
      </w:r>
      <w:r w:rsidR="000A777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102005" w:rsidRPr="000A77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подолання кризових явищ, що склалася у </w:t>
      </w:r>
      <w:r w:rsidR="000A777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теплоенергетичних компаніях, задля</w:t>
      </w:r>
      <w:r w:rsidR="00102005" w:rsidRPr="000A77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старту опалювального сезону.</w:t>
      </w:r>
    </w:p>
    <w:p w:rsidR="000A7777" w:rsidRDefault="00102005" w:rsidP="00461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0A77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літо і зовсім скоро актуальним питанням номер 1 стане початок опалювального сезону. Проте, судячи із нинішньої ситуації, правильніше буде сформулювати це «Чи чекати жителям на опалювальний сезон?». Адже </w:t>
      </w:r>
      <w:r w:rsidR="00703FF2" w:rsidRPr="000A77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 для кого не секрет, що відтепер теплопостачальні організації повинні працювати за неринковими газовими угодами </w:t>
      </w:r>
      <w:r w:rsidR="00703FF2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від ГК «Нафтогаз </w:t>
      </w:r>
      <w:proofErr w:type="spellStart"/>
      <w:r w:rsidR="00703FF2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Трейдинг</w:t>
      </w:r>
      <w:proofErr w:type="spellEnd"/>
      <w:r w:rsidR="00703FF2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». Хочу зауважити, такі </w:t>
      </w:r>
      <w:proofErr w:type="spellStart"/>
      <w:r w:rsidR="00703FF2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договорняки</w:t>
      </w:r>
      <w:proofErr w:type="spellEnd"/>
      <w:r w:rsidR="00703FF2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взагалі суперечать законодавству у сферах теплопостачання та житлово-комунальних послуг. </w:t>
      </w:r>
    </w:p>
    <w:p w:rsidR="00703FF2" w:rsidRPr="000A7777" w:rsidRDefault="000A7777" w:rsidP="00461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Наведу лише конкретні приклади. З</w:t>
      </w:r>
      <w:r w:rsidR="00703FF2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гідно договору є пункт про щомісячні авансові платежі за газ. Це означає, що щомісяця потрібно сплачувати 30% вартості авансом. Решту – 70% до 2</w:t>
      </w:r>
      <w:r w:rsidR="003E0F37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2</w:t>
      </w:r>
      <w:r w:rsidR="00703FF2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числа поточного місяця. При тому, що оплату від насе</w:t>
      </w:r>
      <w:r w:rsidR="00683614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лення отримують значно пізніше, на умовах післяплати. Тобто це означає, що органи місцевого самоврядування повинні передбачати</w:t>
      </w:r>
      <w:r w:rsidR="00703FF2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«зайві» кошти на 2 місяці наперед. </w:t>
      </w:r>
    </w:p>
    <w:p w:rsidR="00F51950" w:rsidRPr="000A7777" w:rsidRDefault="00683614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Ще одна проблема – квотування обсягів газу. Вважаю абсурдним той факт, що у разі невикористання лімітів у міжсезоння, зекономлені залишки не переносяться на період опалювального сезону. А у разі використання понаднормових кубів доведеться заплатити на 50% більше. Адже вже у серпні ГК «Нафтогаз </w:t>
      </w:r>
      <w:proofErr w:type="spellStart"/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Трейдинг</w:t>
      </w:r>
      <w:proofErr w:type="spellEnd"/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» виставив ціну «дорогого» газу — близько 15 тис. грн/тис. </w:t>
      </w:r>
      <w:proofErr w:type="spellStart"/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куб.м</w:t>
      </w:r>
      <w:proofErr w:type="spellEnd"/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замість 7,4 тис. грн/тис. </w:t>
      </w:r>
      <w:proofErr w:type="spellStart"/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куб.м</w:t>
      </w:r>
      <w:proofErr w:type="spellEnd"/>
      <w:r w:rsidR="00F51950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які закладені </w:t>
      </w:r>
      <w:proofErr w:type="spellStart"/>
      <w:r w:rsidR="00F51950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лімітовими</w:t>
      </w:r>
      <w:proofErr w:type="spellEnd"/>
      <w:r w:rsidR="00F51950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обсягами для підприємства ТКЕ. </w:t>
      </w:r>
    </w:p>
    <w:p w:rsidR="00F51950" w:rsidRPr="000A7777" w:rsidRDefault="00F51950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Усі ж розуміють, що для компенсації такої тарифної різниці є два варіанти: або підвищення тарифів для населення для рентабельності теплоенергетичних  підприємств </w:t>
      </w:r>
      <w:r w:rsidR="00830F1E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майже ВТРОЄ</w:t>
      </w: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. Або ж </w:t>
      </w:r>
      <w:proofErr w:type="spellStart"/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компенсовувати</w:t>
      </w:r>
      <w:proofErr w:type="spellEnd"/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різницю з міського бюджету. </w:t>
      </w:r>
    </w:p>
    <w:p w:rsidR="00F51950" w:rsidRPr="000A7777" w:rsidRDefault="00F51950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Але і тут не завершилися сюрпризи. З барського плеча на органи місцевого самоврядування скидають так зване право самим встановлювати тарифи для комунальних підприємств. Таким чином переводячи відповідальність за вимушене </w:t>
      </w:r>
      <w:proofErr w:type="spellStart"/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здорожчання</w:t>
      </w:r>
      <w:proofErr w:type="spellEnd"/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виключно на місця. </w:t>
      </w:r>
    </w:p>
    <w:p w:rsidR="00F51950" w:rsidRPr="000A7777" w:rsidRDefault="00F51950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Наразі, Верховною Радою підтримано законопроект </w:t>
      </w:r>
      <w:r w:rsidR="00830F1E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3508-д </w:t>
      </w:r>
      <w:r w:rsidR="00830F1E" w:rsidRPr="000A7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заходи, спрямовані на подолання кризових явищ та забезпечення фінансової стабільності на ринку природного газу». Проте досі документ не підписаний Президентом України і його подальша доля невідома. </w:t>
      </w:r>
    </w:p>
    <w:p w:rsidR="00830F1E" w:rsidRPr="000A7777" w:rsidRDefault="00830F1E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із цим звертаємося щодо необхідності негайного введення в дію прийнятого закону </w:t>
      </w: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3508-д </w:t>
      </w:r>
      <w:r w:rsidRPr="000A7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заходи, спрямовані на подолання </w:t>
      </w:r>
      <w:r w:rsidRPr="000A77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кризових явищ та забезпечення фінансової стабільності на ринку природного газу».</w:t>
      </w:r>
    </w:p>
    <w:p w:rsidR="00830F1E" w:rsidRPr="000A7777" w:rsidRDefault="00830F1E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Також звертаємося до Кабінету Міністрів України</w:t>
      </w:r>
      <w:r w:rsidR="003E0F37"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та голови Верховної Ради України</w:t>
      </w: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:</w:t>
      </w:r>
    </w:p>
    <w:p w:rsidR="00683614" w:rsidRPr="000A7777" w:rsidRDefault="00830F1E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- прийняти рішення про використання підприємствами ТКЕ українського газу власного видобутку, за ціною не більше 4000 грн/тис.м3, що дозволить вдвічі зменшити вартість теплової енергії та забезпечити 100% оплату ТКЕ за спожитий природний газ.</w:t>
      </w: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ТКЕ повинні укласти прямі договори на постачання природного газу з АТ «Укргазвидобування» без посередництва НАК «Нафтогаз України» і її дочірніх підприємств. </w:t>
      </w:r>
    </w:p>
    <w:p w:rsidR="00830F1E" w:rsidRPr="000A7777" w:rsidRDefault="00830F1E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- внести зміни у ЗУ «Про теплопостачання» щодо заборони відключення об’єктів ТКЕ від енергопостачання в опалювальному періоді та можливості автоматичного коригування тарифів у разі змін цін на енергоносії.</w:t>
      </w:r>
    </w:p>
    <w:p w:rsidR="00703FF2" w:rsidRPr="000A7777" w:rsidRDefault="00830F1E" w:rsidP="00461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- закріплення на законодавчому рівні умов оплати ТКЕ за енергетичні ресурси лише на умовах 100% післяплати.</w:t>
      </w:r>
    </w:p>
    <w:p w:rsidR="00830F1E" w:rsidRPr="000A7777" w:rsidRDefault="00830F1E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- повернути дії Механізму визначення вартості розподілу газу, який діяв станом на 01.01.2020 р, а також термінова відміна порядку нарахування штрафних санкцій на подвоєну суму боргу.</w:t>
      </w:r>
    </w:p>
    <w:p w:rsidR="00830F1E" w:rsidRPr="000A7777" w:rsidRDefault="00830F1E" w:rsidP="00461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777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Без врахування цих вимог на жителів очікує один варіант – енергетичний колапс та абсолютний зрив опалювального сезону! </w:t>
      </w:r>
    </w:p>
    <w:p w:rsidR="0099765C" w:rsidRPr="000A7777" w:rsidRDefault="00EC0E8B" w:rsidP="00461F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Сподіваємося, що здоровий глузд переможе і допоможе прийняти справді виважене та </w:t>
      </w:r>
      <w:r w:rsidR="00830F1E" w:rsidRPr="000A7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економічно </w:t>
      </w:r>
      <w:proofErr w:type="spellStart"/>
      <w:r w:rsidR="00830F1E" w:rsidRPr="000A7777">
        <w:rPr>
          <w:rFonts w:ascii="Times New Roman" w:hAnsi="Times New Roman" w:cs="Times New Roman"/>
          <w:sz w:val="28"/>
          <w:szCs w:val="28"/>
          <w:shd w:val="clear" w:color="auto" w:fill="FFFFFF"/>
        </w:rPr>
        <w:t>обгрунтоване</w:t>
      </w:r>
      <w:proofErr w:type="spellEnd"/>
      <w:r w:rsidR="00830F1E" w:rsidRPr="000A7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рішення. Н</w:t>
      </w:r>
      <w:r w:rsidR="002C3088" w:rsidRPr="000A7777">
        <w:rPr>
          <w:rFonts w:ascii="Times New Roman" w:hAnsi="Times New Roman" w:cs="Times New Roman"/>
          <w:sz w:val="28"/>
          <w:szCs w:val="28"/>
          <w:shd w:val="clear" w:color="auto" w:fill="FFFFFF"/>
        </w:rPr>
        <w:t>е прирікайте українців на випробування холодом!</w:t>
      </w:r>
    </w:p>
    <w:p w:rsidR="003E0F37" w:rsidRDefault="003E0F37" w:rsidP="00461F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0F37" w:rsidRPr="00EC0E8B" w:rsidRDefault="003E0F37" w:rsidP="00461F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E8B" w:rsidRPr="00EC0E8B" w:rsidRDefault="00EC0E8B" w:rsidP="00461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E8B" w:rsidRPr="00EC0E8B" w:rsidRDefault="00EC0E8B" w:rsidP="00461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bookmarkEnd w:id="0"/>
    </w:p>
    <w:sectPr w:rsidR="00EC0E8B" w:rsidRPr="00EC0E8B" w:rsidSect="00F0652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449C"/>
    <w:multiLevelType w:val="multilevel"/>
    <w:tmpl w:val="8EE4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94A5B"/>
    <w:multiLevelType w:val="hybridMultilevel"/>
    <w:tmpl w:val="F57A0EEE"/>
    <w:lvl w:ilvl="0" w:tplc="DA3603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0B01C5"/>
    <w:multiLevelType w:val="hybridMultilevel"/>
    <w:tmpl w:val="4C223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552A"/>
    <w:multiLevelType w:val="multilevel"/>
    <w:tmpl w:val="CD34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01"/>
    <w:rsid w:val="00076580"/>
    <w:rsid w:val="00081A1D"/>
    <w:rsid w:val="000A7777"/>
    <w:rsid w:val="000D7C61"/>
    <w:rsid w:val="000F05CB"/>
    <w:rsid w:val="00102005"/>
    <w:rsid w:val="001202AC"/>
    <w:rsid w:val="00122AD0"/>
    <w:rsid w:val="00191F46"/>
    <w:rsid w:val="001C672C"/>
    <w:rsid w:val="001D252B"/>
    <w:rsid w:val="00232B2E"/>
    <w:rsid w:val="00292EC9"/>
    <w:rsid w:val="002C3088"/>
    <w:rsid w:val="002D70BF"/>
    <w:rsid w:val="00315550"/>
    <w:rsid w:val="00356677"/>
    <w:rsid w:val="00385701"/>
    <w:rsid w:val="0038654C"/>
    <w:rsid w:val="003E0F37"/>
    <w:rsid w:val="003F68AB"/>
    <w:rsid w:val="00434342"/>
    <w:rsid w:val="00461F01"/>
    <w:rsid w:val="004C4B43"/>
    <w:rsid w:val="004C68CA"/>
    <w:rsid w:val="005378E8"/>
    <w:rsid w:val="00550830"/>
    <w:rsid w:val="005746B3"/>
    <w:rsid w:val="00590ACD"/>
    <w:rsid w:val="005D6137"/>
    <w:rsid w:val="00613CF6"/>
    <w:rsid w:val="00622CB1"/>
    <w:rsid w:val="006723FA"/>
    <w:rsid w:val="00683614"/>
    <w:rsid w:val="0069119B"/>
    <w:rsid w:val="00692ABA"/>
    <w:rsid w:val="0069611F"/>
    <w:rsid w:val="006E3E5D"/>
    <w:rsid w:val="006E7F3A"/>
    <w:rsid w:val="00703FF2"/>
    <w:rsid w:val="00736B0C"/>
    <w:rsid w:val="00790E92"/>
    <w:rsid w:val="0079392E"/>
    <w:rsid w:val="007F6F76"/>
    <w:rsid w:val="00830F1E"/>
    <w:rsid w:val="008730CF"/>
    <w:rsid w:val="008A2FDB"/>
    <w:rsid w:val="0090252F"/>
    <w:rsid w:val="00910C9B"/>
    <w:rsid w:val="00943B37"/>
    <w:rsid w:val="00962DC0"/>
    <w:rsid w:val="00977DC5"/>
    <w:rsid w:val="009859A3"/>
    <w:rsid w:val="0099765C"/>
    <w:rsid w:val="009C5366"/>
    <w:rsid w:val="009D724A"/>
    <w:rsid w:val="009F570E"/>
    <w:rsid w:val="00A30B74"/>
    <w:rsid w:val="00A6765A"/>
    <w:rsid w:val="00A859E0"/>
    <w:rsid w:val="00AB1BEC"/>
    <w:rsid w:val="00AB6076"/>
    <w:rsid w:val="00AC72E3"/>
    <w:rsid w:val="00AF0E22"/>
    <w:rsid w:val="00B33288"/>
    <w:rsid w:val="00B63D2E"/>
    <w:rsid w:val="00B94B54"/>
    <w:rsid w:val="00B959A0"/>
    <w:rsid w:val="00BF0C45"/>
    <w:rsid w:val="00BF71A8"/>
    <w:rsid w:val="00C07FFE"/>
    <w:rsid w:val="00C10197"/>
    <w:rsid w:val="00C15EF3"/>
    <w:rsid w:val="00C26D42"/>
    <w:rsid w:val="00C41911"/>
    <w:rsid w:val="00C44F98"/>
    <w:rsid w:val="00C539E0"/>
    <w:rsid w:val="00CB770B"/>
    <w:rsid w:val="00CD2FFD"/>
    <w:rsid w:val="00D43394"/>
    <w:rsid w:val="00D47274"/>
    <w:rsid w:val="00DA11AC"/>
    <w:rsid w:val="00DB103B"/>
    <w:rsid w:val="00DD281C"/>
    <w:rsid w:val="00E02816"/>
    <w:rsid w:val="00E02F73"/>
    <w:rsid w:val="00E2199A"/>
    <w:rsid w:val="00EA16CA"/>
    <w:rsid w:val="00EC0E8B"/>
    <w:rsid w:val="00ED0F6B"/>
    <w:rsid w:val="00F0652F"/>
    <w:rsid w:val="00F1345C"/>
    <w:rsid w:val="00F51950"/>
    <w:rsid w:val="00F53353"/>
    <w:rsid w:val="00FB0B4D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F851E-2D22-4B2A-AA80-35122CE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385701"/>
  </w:style>
  <w:style w:type="paragraph" w:customStyle="1" w:styleId="rvps3">
    <w:name w:val="rvps3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385701"/>
  </w:style>
  <w:style w:type="paragraph" w:customStyle="1" w:styleId="rvps9">
    <w:name w:val="rvps9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385701"/>
    <w:pPr>
      <w:ind w:left="720"/>
      <w:contextualSpacing/>
    </w:pPr>
  </w:style>
  <w:style w:type="character" w:styleId="a4">
    <w:name w:val="Emphasis"/>
    <w:basedOn w:val="a0"/>
    <w:uiPriority w:val="20"/>
    <w:qFormat/>
    <w:rsid w:val="00B94B54"/>
    <w:rPr>
      <w:i/>
      <w:iCs/>
    </w:rPr>
  </w:style>
  <w:style w:type="paragraph" w:customStyle="1" w:styleId="rvps72">
    <w:name w:val="rvps72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7FFE"/>
  </w:style>
  <w:style w:type="paragraph" w:customStyle="1" w:styleId="rvps73">
    <w:name w:val="rvps73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">
    <w:name w:val="rvps74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3">
    <w:name w:val="rvps53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0">
    <w:name w:val="rvps40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2">
    <w:name w:val="rvps52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2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4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0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05C5-D42E-4E19-9D76-0DB2F7B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2611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2021-07-29T10:26:00Z</cp:lastPrinted>
  <dcterms:created xsi:type="dcterms:W3CDTF">2021-07-28T15:25:00Z</dcterms:created>
  <dcterms:modified xsi:type="dcterms:W3CDTF">2021-08-03T11:41:00Z</dcterms:modified>
</cp:coreProperties>
</file>